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color w:val="000000" w:themeColor="text1"/>
          <w:sz w:val="24"/>
          <w:highlight w:val="none"/>
          <w14:textFill>
            <w14:solidFill>
              <w14:schemeClr w14:val="tx1"/>
            </w14:solidFill>
          </w14:textFill>
        </w:rPr>
      </w:pPr>
      <w:bookmarkStart w:id="0" w:name="_Toc157418557"/>
      <w:bookmarkStart w:id="1" w:name="_Toc163364646"/>
      <w:bookmarkStart w:id="2" w:name="_Toc178674763"/>
      <w:bookmarkStart w:id="3" w:name="_Toc157418350"/>
      <w:bookmarkStart w:id="4" w:name="_Toc165385343"/>
      <w:bookmarkStart w:id="5" w:name="_Toc125129292"/>
      <w:bookmarkStart w:id="6" w:name="_Toc32815540"/>
    </w:p>
    <w:p>
      <w:pPr>
        <w:spacing w:line="276" w:lineRule="auto"/>
        <w:jc w:val="left"/>
        <w:rPr>
          <w:rFonts w:ascii="宋体"/>
          <w:color w:val="000000" w:themeColor="text1"/>
          <w:sz w:val="24"/>
          <w:highlight w:val="none"/>
          <w14:textFill>
            <w14:solidFill>
              <w14:schemeClr w14:val="tx1"/>
            </w14:solidFill>
          </w14:textFill>
        </w:rPr>
      </w:pPr>
    </w:p>
    <w:p>
      <w:pPr>
        <w:spacing w:line="276" w:lineRule="auto"/>
        <w:jc w:val="left"/>
        <w:rPr>
          <w:rFonts w:ascii="宋体"/>
          <w:color w:val="000000" w:themeColor="text1"/>
          <w:sz w:val="24"/>
          <w:highlight w:val="none"/>
          <w14:textFill>
            <w14:solidFill>
              <w14:schemeClr w14:val="tx1"/>
            </w14:solidFill>
          </w14:textFill>
        </w:rPr>
      </w:pPr>
    </w:p>
    <w:p>
      <w:pPr>
        <w:spacing w:line="276" w:lineRule="auto"/>
        <w:jc w:val="center"/>
        <w:rPr>
          <w:rFonts w:ascii="仿宋" w:hAnsi="仿宋" w:eastAsia="仿宋"/>
          <w:b/>
          <w:bCs/>
          <w:color w:val="000000" w:themeColor="text1"/>
          <w:sz w:val="84"/>
          <w:szCs w:val="84"/>
          <w:highlight w:val="none"/>
          <w:lang w:val="zh-CN"/>
          <w14:textFill>
            <w14:solidFill>
              <w14:schemeClr w14:val="tx1"/>
            </w14:solidFill>
          </w14:textFill>
        </w:rPr>
      </w:pPr>
      <w:r>
        <w:rPr>
          <w:rFonts w:hint="eastAsia" w:ascii="仿宋" w:hAnsi="仿宋" w:eastAsia="仿宋" w:cs="仿宋"/>
          <w:b/>
          <w:bCs/>
          <w:color w:val="000000" w:themeColor="text1"/>
          <w:sz w:val="84"/>
          <w:szCs w:val="84"/>
          <w:highlight w:val="none"/>
          <w:lang w:val="zh-CN"/>
          <w14:textFill>
            <w14:solidFill>
              <w14:schemeClr w14:val="tx1"/>
            </w14:solidFill>
          </w14:textFill>
        </w:rPr>
        <w:t>招标文件</w:t>
      </w:r>
    </w:p>
    <w:p>
      <w:pPr>
        <w:spacing w:line="276" w:lineRule="auto"/>
        <w:jc w:val="center"/>
        <w:rPr>
          <w:rFonts w:ascii="宋体"/>
          <w:color w:val="000000" w:themeColor="text1"/>
          <w:sz w:val="36"/>
          <w:szCs w:val="36"/>
          <w:highlight w:val="none"/>
          <w14:textFill>
            <w14:solidFill>
              <w14:schemeClr w14:val="tx1"/>
            </w14:solidFill>
          </w14:textFill>
        </w:rPr>
      </w:pPr>
      <w:bookmarkStart w:id="7" w:name="_Toc342899794"/>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ind w:firstLine="708" w:firstLineChars="196"/>
        <w:rPr>
          <w:rFonts w:hint="eastAsia" w:ascii="仿宋" w:hAnsi="仿宋" w:eastAsia="仿宋" w:cs="仿宋"/>
          <w:b/>
          <w:bCs/>
          <w:color w:val="000000" w:themeColor="text1"/>
          <w:sz w:val="36"/>
          <w:szCs w:val="36"/>
          <w:highlight w:val="none"/>
          <w:lang w:val="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项目名称</w:t>
      </w:r>
      <w:bookmarkEnd w:id="7"/>
      <w:r>
        <w:rPr>
          <w:rFonts w:hint="eastAsia" w:ascii="仿宋" w:hAnsi="仿宋" w:eastAsia="仿宋" w:cs="仿宋"/>
          <w:b/>
          <w:bCs/>
          <w:color w:val="000000" w:themeColor="text1"/>
          <w:sz w:val="36"/>
          <w:szCs w:val="36"/>
          <w:highlight w:val="none"/>
          <w:lang w:val="zh-CN"/>
          <w14:textFill>
            <w14:solidFill>
              <w14:schemeClr w14:val="tx1"/>
            </w14:solidFill>
          </w14:textFill>
        </w:rPr>
        <w:t>：</w:t>
      </w:r>
    </w:p>
    <w:p>
      <w:pPr>
        <w:spacing w:line="276" w:lineRule="auto"/>
        <w:ind w:firstLine="708" w:firstLineChars="196"/>
        <w:rPr>
          <w:rFonts w:ascii="仿宋" w:hAnsi="仿宋" w:eastAsia="仿宋"/>
          <w:b/>
          <w:bCs/>
          <w:color w:val="000000" w:themeColor="text1"/>
          <w:sz w:val="36"/>
          <w:szCs w:val="36"/>
          <w:highlight w:val="none"/>
          <w:lang w:val="zh-CN"/>
          <w14:textFill>
            <w14:solidFill>
              <w14:schemeClr w14:val="tx1"/>
            </w14:solidFill>
          </w14:textFill>
        </w:rPr>
      </w:pPr>
      <w:r>
        <w:rPr>
          <w:rFonts w:hint="eastAsia" w:ascii="仿宋" w:hAnsi="仿宋" w:eastAsia="仿宋"/>
          <w:b/>
          <w:bCs/>
          <w:color w:val="000000" w:themeColor="text1"/>
          <w:sz w:val="36"/>
          <w:szCs w:val="36"/>
          <w:highlight w:val="none"/>
          <w:lang w:val="zh-CN"/>
          <w14:textFill>
            <w14:solidFill>
              <w14:schemeClr w14:val="tx1"/>
            </w14:solidFill>
          </w14:textFill>
        </w:rPr>
        <w:t>202</w:t>
      </w:r>
      <w:r>
        <w:rPr>
          <w:rFonts w:hint="eastAsia" w:ascii="仿宋" w:hAnsi="仿宋" w:eastAsia="仿宋"/>
          <w:b/>
          <w:bCs/>
          <w:color w:val="000000" w:themeColor="text1"/>
          <w:sz w:val="36"/>
          <w:szCs w:val="36"/>
          <w:highlight w:val="none"/>
          <w:lang w:val="en-US" w:eastAsia="zh-CN"/>
          <w14:textFill>
            <w14:solidFill>
              <w14:schemeClr w14:val="tx1"/>
            </w14:solidFill>
          </w14:textFill>
        </w:rPr>
        <w:t>4</w:t>
      </w:r>
      <w:r>
        <w:rPr>
          <w:rFonts w:hint="eastAsia" w:ascii="仿宋" w:hAnsi="仿宋" w:eastAsia="仿宋"/>
          <w:b/>
          <w:bCs/>
          <w:color w:val="000000" w:themeColor="text1"/>
          <w:sz w:val="36"/>
          <w:szCs w:val="36"/>
          <w:highlight w:val="none"/>
          <w:lang w:val="zh-CN"/>
          <w14:textFill>
            <w14:solidFill>
              <w14:schemeClr w14:val="tx1"/>
            </w14:solidFill>
          </w14:textFill>
        </w:rPr>
        <w:t>全国制药机械博览会</w:t>
      </w:r>
      <w:r>
        <w:rPr>
          <w:rFonts w:hint="eastAsia" w:ascii="仿宋" w:hAnsi="仿宋" w:eastAsia="仿宋"/>
          <w:b/>
          <w:bCs/>
          <w:color w:val="000000" w:themeColor="text1"/>
          <w:sz w:val="36"/>
          <w:szCs w:val="36"/>
          <w:highlight w:val="none"/>
          <w14:textFill>
            <w14:solidFill>
              <w14:schemeClr w14:val="tx1"/>
            </w14:solidFill>
          </w14:textFill>
        </w:rPr>
        <w:t>现场水电气接驳服务</w:t>
      </w:r>
    </w:p>
    <w:p>
      <w:pPr>
        <w:spacing w:line="276" w:lineRule="auto"/>
        <w:ind w:firstLine="3072" w:firstLineChars="850"/>
        <w:rPr>
          <w:rFonts w:ascii="仿宋" w:hAnsi="仿宋" w:eastAsia="仿宋"/>
          <w:b/>
          <w:bCs/>
          <w:color w:val="000000" w:themeColor="text1"/>
          <w:sz w:val="36"/>
          <w:szCs w:val="36"/>
          <w:highlight w:val="none"/>
          <w:lang w:val="zh-CN"/>
          <w14:textFill>
            <w14:solidFill>
              <w14:schemeClr w14:val="tx1"/>
            </w14:solidFill>
          </w14:textFill>
        </w:rPr>
      </w:pPr>
    </w:p>
    <w:p>
      <w:pPr>
        <w:spacing w:line="276" w:lineRule="auto"/>
        <w:ind w:firstLine="708" w:firstLineChars="196"/>
        <w:rPr>
          <w:rFonts w:ascii="仿宋" w:hAnsi="仿宋" w:eastAsia="仿宋" w:cs="宋体"/>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项目编号：</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ZFZH-2024-02</w:t>
      </w:r>
    </w:p>
    <w:p>
      <w:pPr>
        <w:pStyle w:val="9"/>
        <w:spacing w:line="360" w:lineRule="auto"/>
        <w:rPr>
          <w:rFonts w:ascii="仿宋" w:hAnsi="仿宋" w:eastAsia="仿宋" w:cs="Times New Roman"/>
          <w:b/>
          <w:bCs/>
          <w:color w:val="000000" w:themeColor="text1"/>
          <w:sz w:val="36"/>
          <w:szCs w:val="36"/>
          <w:highlight w:val="none"/>
          <w14:textFill>
            <w14:solidFill>
              <w14:schemeClr w14:val="tx1"/>
            </w14:solidFill>
          </w14:textFill>
        </w:rPr>
      </w:pPr>
    </w:p>
    <w:p>
      <w:pPr>
        <w:pStyle w:val="9"/>
        <w:spacing w:line="360" w:lineRule="auto"/>
        <w:ind w:firstLine="708" w:firstLineChars="196"/>
        <w:rPr>
          <w:rFonts w:ascii="仿宋" w:hAnsi="仿宋" w:eastAsia="仿宋" w:cs="仿宋"/>
          <w:b/>
          <w:bCs/>
          <w:color w:val="000000" w:themeColor="text1"/>
          <w:sz w:val="36"/>
          <w:szCs w:val="36"/>
          <w:highlight w:val="none"/>
          <w:lang w:val="zh-CN"/>
          <w14:textFill>
            <w14:solidFill>
              <w14:schemeClr w14:val="tx1"/>
            </w14:solidFill>
          </w14:textFill>
        </w:rPr>
      </w:pPr>
      <w:r>
        <w:rPr>
          <w:rFonts w:hint="eastAsia" w:ascii="仿宋" w:hAnsi="仿宋" w:eastAsia="仿宋" w:cs="仿宋"/>
          <w:b/>
          <w:bCs/>
          <w:color w:val="000000" w:themeColor="text1"/>
          <w:sz w:val="36"/>
          <w:szCs w:val="36"/>
          <w:highlight w:val="none"/>
          <w:lang w:val="zh-CN"/>
          <w14:textFill>
            <w14:solidFill>
              <w14:schemeClr w14:val="tx1"/>
            </w14:solidFill>
          </w14:textFill>
        </w:rPr>
        <w:t>招标人：</w:t>
      </w:r>
      <w:r>
        <w:rPr>
          <w:rFonts w:hint="eastAsia" w:ascii="仿宋" w:hAnsi="仿宋" w:eastAsia="仿宋" w:cs="仿宋"/>
          <w:b/>
          <w:bCs/>
          <w:color w:val="000000" w:themeColor="text1"/>
          <w:sz w:val="36"/>
          <w:szCs w:val="36"/>
          <w:highlight w:val="none"/>
          <w14:textFill>
            <w14:solidFill>
              <w14:schemeClr w14:val="tx1"/>
            </w14:solidFill>
          </w14:textFill>
        </w:rPr>
        <w:t>展服智慧（厦门）物业服务有限公司</w:t>
      </w:r>
    </w:p>
    <w:p>
      <w:pPr>
        <w:spacing w:line="276" w:lineRule="auto"/>
        <w:ind w:firstLine="1265" w:firstLineChars="350"/>
        <w:rPr>
          <w:rFonts w:ascii="仿宋" w:hAnsi="仿宋" w:eastAsia="仿宋"/>
          <w:b/>
          <w:bCs/>
          <w:color w:val="000000" w:themeColor="text1"/>
          <w:sz w:val="36"/>
          <w:szCs w:val="36"/>
          <w:highlight w:val="none"/>
          <w:lang w:val="zh-CN"/>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spacing w:line="276" w:lineRule="auto"/>
        <w:jc w:val="center"/>
        <w:rPr>
          <w:rFonts w:ascii="宋体"/>
          <w:color w:val="000000" w:themeColor="text1"/>
          <w:sz w:val="36"/>
          <w:szCs w:val="36"/>
          <w:highlight w:val="none"/>
          <w14:textFill>
            <w14:solidFill>
              <w14:schemeClr w14:val="tx1"/>
            </w14:solidFill>
          </w14:textFill>
        </w:rPr>
      </w:pPr>
    </w:p>
    <w:p>
      <w:pPr>
        <w:pStyle w:val="9"/>
        <w:spacing w:line="360" w:lineRule="auto"/>
        <w:ind w:firstLine="2168" w:firstLineChars="600"/>
        <w:rPr>
          <w:rFonts w:ascii="仿宋" w:hAnsi="仿宋" w:eastAsia="仿宋" w:cs="仿宋"/>
          <w:b/>
          <w:bCs/>
          <w:color w:val="000000" w:themeColor="text1"/>
          <w:sz w:val="36"/>
          <w:szCs w:val="36"/>
          <w:highlight w:val="none"/>
          <w:lang w:val="zh-CN"/>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展服智慧（厦门）物业服务有限公司</w:t>
      </w:r>
    </w:p>
    <w:p>
      <w:pPr>
        <w:spacing w:line="276" w:lineRule="auto"/>
        <w:ind w:firstLine="3596" w:firstLineChars="995"/>
        <w:rPr>
          <w:rFonts w:ascii="仿宋" w:hAnsi="仿宋" w:eastAsia="仿宋" w:cs="宋体"/>
          <w:b/>
          <w:bCs/>
          <w:color w:val="000000" w:themeColor="text1"/>
          <w:sz w:val="36"/>
          <w:szCs w:val="36"/>
          <w:highlight w:val="none"/>
          <w14:textFill>
            <w14:solidFill>
              <w14:schemeClr w14:val="tx1"/>
            </w14:solidFill>
          </w14:textFill>
        </w:rPr>
      </w:pPr>
      <w:r>
        <w:rPr>
          <w:rFonts w:hint="eastAsia" w:ascii="仿宋" w:hAnsi="仿宋" w:eastAsia="仿宋"/>
          <w:b/>
          <w:color w:val="000000" w:themeColor="text1"/>
          <w:sz w:val="36"/>
          <w:szCs w:val="36"/>
          <w:highlight w:val="none"/>
          <w:lang w:val="en-US" w:eastAsia="zh-CN"/>
          <w14:textFill>
            <w14:solidFill>
              <w14:schemeClr w14:val="tx1"/>
            </w14:solidFill>
          </w14:textFill>
        </w:rPr>
        <w:t>2024</w:t>
      </w:r>
      <w:r>
        <w:rPr>
          <w:rFonts w:hint="eastAsia" w:ascii="仿宋" w:hAnsi="仿宋" w:eastAsia="仿宋"/>
          <w:b/>
          <w:color w:val="000000" w:themeColor="text1"/>
          <w:sz w:val="36"/>
          <w:szCs w:val="36"/>
          <w:highlight w:val="none"/>
          <w14:textFill>
            <w14:solidFill>
              <w14:schemeClr w14:val="tx1"/>
            </w14:solidFill>
          </w14:textFill>
        </w:rPr>
        <w:t>年</w:t>
      </w:r>
      <w:r>
        <w:rPr>
          <w:rFonts w:hint="eastAsia" w:ascii="仿宋" w:hAnsi="仿宋" w:eastAsia="仿宋"/>
          <w:b/>
          <w:color w:val="000000" w:themeColor="text1"/>
          <w:sz w:val="36"/>
          <w:szCs w:val="36"/>
          <w:highlight w:val="none"/>
          <w:lang w:val="en-US" w:eastAsia="zh-CN"/>
          <w14:textFill>
            <w14:solidFill>
              <w14:schemeClr w14:val="tx1"/>
            </w14:solidFill>
          </w14:textFill>
        </w:rPr>
        <w:t>10</w:t>
      </w:r>
      <w:r>
        <w:rPr>
          <w:rFonts w:hint="eastAsia" w:ascii="仿宋" w:hAnsi="仿宋" w:eastAsia="仿宋"/>
          <w:b/>
          <w:color w:val="000000" w:themeColor="text1"/>
          <w:sz w:val="36"/>
          <w:szCs w:val="36"/>
          <w:highlight w:val="none"/>
          <w14:textFill>
            <w14:solidFill>
              <w14:schemeClr w14:val="tx1"/>
            </w14:solidFill>
          </w14:textFill>
        </w:rPr>
        <w:t>月</w:t>
      </w:r>
    </w:p>
    <w:p>
      <w:pPr>
        <w:pStyle w:val="16"/>
        <w:shd w:val="clear" w:color="auto" w:fill="FFFFFF"/>
        <w:spacing w:line="600" w:lineRule="atLeast"/>
        <w:ind w:firstLine="540" w:firstLineChars="150"/>
        <w:jc w:val="center"/>
        <w:rPr>
          <w:rFonts w:ascii="仿宋" w:hAnsi="仿宋" w:eastAsia="仿宋"/>
          <w:color w:val="000000" w:themeColor="text1"/>
          <w:sz w:val="36"/>
          <w:szCs w:val="36"/>
          <w:highlight w:val="none"/>
          <w14:textFill>
            <w14:solidFill>
              <w14:schemeClr w14:val="tx1"/>
            </w14:solidFill>
          </w14:textFill>
        </w:rPr>
      </w:pPr>
    </w:p>
    <w:p>
      <w:pPr>
        <w:pStyle w:val="16"/>
        <w:shd w:val="clear" w:color="auto" w:fill="FFFFFF"/>
        <w:spacing w:line="600" w:lineRule="atLeast"/>
        <w:ind w:firstLine="540" w:firstLineChars="150"/>
        <w:jc w:val="center"/>
        <w:rPr>
          <w:rFonts w:ascii="仿宋" w:hAnsi="仿宋" w:eastAsia="仿宋"/>
          <w:color w:val="000000" w:themeColor="text1"/>
          <w:sz w:val="36"/>
          <w:szCs w:val="36"/>
          <w:highlight w:val="none"/>
          <w14:textFill>
            <w14:solidFill>
              <w14:schemeClr w14:val="tx1"/>
            </w14:solidFill>
          </w14:textFill>
        </w:rPr>
      </w:pPr>
    </w:p>
    <w:p>
      <w:pPr>
        <w:pStyle w:val="16"/>
        <w:shd w:val="clear" w:color="auto" w:fill="FFFFFF"/>
        <w:spacing w:line="600" w:lineRule="atLeast"/>
        <w:rPr>
          <w:rFonts w:hint="eastAsia" w:ascii="仿宋" w:hAnsi="仿宋" w:eastAsia="仿宋"/>
          <w:color w:val="000000" w:themeColor="text1"/>
          <w:sz w:val="36"/>
          <w:szCs w:val="36"/>
          <w:highlight w:val="none"/>
          <w14:textFill>
            <w14:solidFill>
              <w14:schemeClr w14:val="tx1"/>
            </w14:solidFill>
          </w14:textFill>
        </w:rPr>
      </w:pPr>
    </w:p>
    <w:p>
      <w:pPr>
        <w:pStyle w:val="16"/>
        <w:shd w:val="clear" w:color="auto" w:fill="FFFFFF"/>
        <w:spacing w:line="600" w:lineRule="atLeast"/>
        <w:ind w:firstLine="540" w:firstLineChars="150"/>
        <w:jc w:val="center"/>
        <w:rPr>
          <w:rFonts w:ascii="仿宋" w:hAnsi="仿宋" w:eastAsia="仿宋"/>
          <w:color w:val="000000" w:themeColor="text1"/>
          <w:sz w:val="36"/>
          <w:szCs w:val="36"/>
          <w:highlight w:val="none"/>
          <w14:textFill>
            <w14:solidFill>
              <w14:schemeClr w14:val="tx1"/>
            </w14:solidFill>
          </w14:textFill>
        </w:rPr>
      </w:pPr>
    </w:p>
    <w:p>
      <w:pPr>
        <w:pStyle w:val="16"/>
        <w:shd w:val="clear" w:color="auto" w:fill="FFFFFF"/>
        <w:spacing w:line="600" w:lineRule="atLeast"/>
        <w:ind w:firstLine="540" w:firstLineChars="150"/>
        <w:jc w:val="center"/>
        <w:rPr>
          <w:rFonts w:ascii="仿宋" w:hAnsi="仿宋" w:eastAsia="仿宋"/>
          <w:color w:val="000000" w:themeColor="text1"/>
          <w:sz w:val="36"/>
          <w:szCs w:val="36"/>
          <w:highlight w:val="none"/>
          <w14:textFill>
            <w14:solidFill>
              <w14:schemeClr w14:val="tx1"/>
            </w14:solidFill>
          </w14:textFill>
        </w:rPr>
      </w:pPr>
    </w:p>
    <w:p>
      <w:pPr>
        <w:pStyle w:val="9"/>
        <w:spacing w:line="360" w:lineRule="auto"/>
        <w:jc w:val="center"/>
        <w:rPr>
          <w:rFonts w:ascii="仿宋" w:hAnsi="仿宋" w:eastAsia="仿宋" w:cs="仿宋"/>
          <w:b/>
          <w:bCs/>
          <w:color w:val="000000" w:themeColor="text1"/>
          <w:sz w:val="44"/>
          <w:szCs w:val="44"/>
          <w:highlight w:val="none"/>
          <w14:textFill>
            <w14:solidFill>
              <w14:schemeClr w14:val="tx1"/>
            </w14:solidFill>
          </w14:textFill>
        </w:rPr>
      </w:pPr>
      <w:r>
        <w:rPr>
          <w:rFonts w:hint="eastAsia" w:ascii="仿宋" w:hAnsi="仿宋" w:eastAsia="仿宋" w:cs="仿宋"/>
          <w:b/>
          <w:bCs/>
          <w:color w:val="000000" w:themeColor="text1"/>
          <w:sz w:val="44"/>
          <w:szCs w:val="44"/>
          <w:highlight w:val="none"/>
          <w14:textFill>
            <w14:solidFill>
              <w14:schemeClr w14:val="tx1"/>
            </w14:solidFill>
          </w14:textFill>
        </w:rPr>
        <w:t>目    录</w:t>
      </w:r>
      <w:bookmarkEnd w:id="0"/>
      <w:bookmarkEnd w:id="1"/>
      <w:bookmarkEnd w:id="2"/>
      <w:bookmarkEnd w:id="3"/>
      <w:bookmarkEnd w:id="4"/>
    </w:p>
    <w:p>
      <w:pPr>
        <w:pStyle w:val="14"/>
        <w:tabs>
          <w:tab w:val="right" w:leader="dot" w:pos="9071"/>
        </w:tabs>
        <w:rPr>
          <w:color w:val="000000" w:themeColor="text1"/>
          <w:highlight w:val="non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TOC \o "1-3" \h \z \u </w:instrText>
      </w:r>
      <w:r>
        <w:rPr>
          <w:rFonts w:ascii="宋体" w:hAnsi="宋体"/>
          <w:color w:val="000000" w:themeColor="text1"/>
          <w:sz w:val="32"/>
          <w:szCs w:val="32"/>
          <w:highlight w:val="none"/>
          <w14:textFill>
            <w14:solidFill>
              <w14:schemeClr w14:val="tx1"/>
            </w14:solidFill>
          </w14:textFill>
        </w:rPr>
        <w:fldChar w:fldCharType="separate"/>
      </w: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_Toc11682 </w:instrText>
      </w:r>
      <w:r>
        <w:rPr>
          <w:rFonts w:ascii="宋体" w:hAnsi="宋体"/>
          <w:color w:val="000000" w:themeColor="text1"/>
          <w:szCs w:val="32"/>
          <w:highlight w:val="none"/>
          <w14:textFill>
            <w14:solidFill>
              <w14:schemeClr w14:val="tx1"/>
            </w14:solidFill>
          </w14:textFill>
        </w:rPr>
        <w:fldChar w:fldCharType="separate"/>
      </w:r>
      <w:r>
        <w:rPr>
          <w:rFonts w:hint="eastAsia" w:ascii="仿宋" w:hAnsi="仿宋" w:eastAsia="仿宋" w:cs="仿宋"/>
          <w:bCs w:val="0"/>
          <w:color w:val="000000" w:themeColor="text1"/>
          <w:kern w:val="0"/>
          <w:szCs w:val="32"/>
          <w:highlight w:val="none"/>
          <w14:textFill>
            <w14:solidFill>
              <w14:schemeClr w14:val="tx1"/>
            </w14:solidFill>
          </w14:textFill>
        </w:rPr>
        <w:t>第一章　招标公告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_Toc11682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14"/>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_Toc8671 </w:instrText>
      </w:r>
      <w:r>
        <w:rPr>
          <w:rFonts w:ascii="宋体" w:hAnsi="宋体"/>
          <w:color w:val="000000" w:themeColor="text1"/>
          <w:szCs w:val="32"/>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附：招标项目一览表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_Toc8671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14"/>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_Toc9920 </w:instrText>
      </w:r>
      <w:r>
        <w:rPr>
          <w:rFonts w:ascii="宋体" w:hAnsi="宋体"/>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kern w:val="0"/>
          <w:szCs w:val="32"/>
          <w:highlight w:val="none"/>
          <w14:textFill>
            <w14:solidFill>
              <w14:schemeClr w14:val="tx1"/>
            </w14:solidFill>
          </w14:textFill>
        </w:rPr>
        <w:t>第二章　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_Toc9920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15"/>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_Toc9985 </w:instrText>
      </w:r>
      <w:r>
        <w:rPr>
          <w:rFonts w:ascii="宋体" w:hAnsi="宋体"/>
          <w:color w:val="000000" w:themeColor="text1"/>
          <w:szCs w:val="32"/>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第一节  说  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_Toc9985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_Toc7808 </w:instrText>
      </w:r>
      <w:r>
        <w:rPr>
          <w:rFonts w:ascii="宋体" w:hAnsi="宋体"/>
          <w:color w:val="000000" w:themeColor="text1"/>
          <w:szCs w:val="32"/>
          <w:highlight w:val="none"/>
          <w14:textFill>
            <w14:solidFill>
              <w14:schemeClr w14:val="tx1"/>
            </w14:solidFill>
          </w14:textFill>
        </w:rPr>
        <w:fldChar w:fldCharType="separate"/>
      </w:r>
      <w:r>
        <w:rPr>
          <w:rFonts w:ascii="仿宋" w:hAnsi="仿宋" w:eastAsia="仿宋"/>
          <w:color w:val="000000" w:themeColor="text1"/>
          <w:highlight w:val="none"/>
          <w14:textFill>
            <w14:solidFill>
              <w14:schemeClr w14:val="tx1"/>
            </w14:solidFill>
          </w14:textFill>
        </w:rPr>
        <w:t xml:space="preserve">1. </w:t>
      </w:r>
      <w:r>
        <w:rPr>
          <w:rFonts w:hint="eastAsia" w:ascii="仿宋" w:hAnsi="仿宋" w:eastAsia="仿宋"/>
          <w:color w:val="000000" w:themeColor="text1"/>
          <w:highlight w:val="none"/>
          <w14:textFill>
            <w14:solidFill>
              <w14:schemeClr w14:val="tx1"/>
            </w14:solidFill>
          </w14:textFill>
        </w:rPr>
        <w:t>适用范围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_Toc7808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_Toc8300 </w:instrText>
      </w:r>
      <w:r>
        <w:rPr>
          <w:rFonts w:ascii="宋体" w:hAnsi="宋体"/>
          <w:color w:val="000000" w:themeColor="text1"/>
          <w:szCs w:val="32"/>
          <w:highlight w:val="none"/>
          <w14:textFill>
            <w14:solidFill>
              <w14:schemeClr w14:val="tx1"/>
            </w14:solidFill>
          </w14:textFill>
        </w:rPr>
        <w:fldChar w:fldCharType="separate"/>
      </w:r>
      <w:r>
        <w:rPr>
          <w:rFonts w:ascii="仿宋" w:hAnsi="仿宋" w:eastAsia="仿宋"/>
          <w:color w:val="000000" w:themeColor="text1"/>
          <w:highlight w:val="none"/>
          <w14:textFill>
            <w14:solidFill>
              <w14:schemeClr w14:val="tx1"/>
            </w14:solidFill>
          </w14:textFill>
        </w:rPr>
        <w:t xml:space="preserve">2. </w:t>
      </w:r>
      <w:r>
        <w:rPr>
          <w:rFonts w:hint="eastAsia" w:ascii="仿宋" w:hAnsi="仿宋" w:eastAsia="仿宋"/>
          <w:color w:val="000000" w:themeColor="text1"/>
          <w:highlight w:val="none"/>
          <w14:textFill>
            <w14:solidFill>
              <w14:schemeClr w14:val="tx1"/>
            </w14:solidFill>
          </w14:textFill>
        </w:rPr>
        <w:t>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_Toc8300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_Toc11744 </w:instrText>
      </w:r>
      <w:r>
        <w:rPr>
          <w:rFonts w:ascii="宋体" w:hAnsi="宋体"/>
          <w:color w:val="000000" w:themeColor="text1"/>
          <w:szCs w:val="32"/>
          <w:highlight w:val="none"/>
          <w14:textFill>
            <w14:solidFill>
              <w14:schemeClr w14:val="tx1"/>
            </w14:solidFill>
          </w14:textFill>
        </w:rPr>
        <w:fldChar w:fldCharType="separate"/>
      </w:r>
      <w:r>
        <w:rPr>
          <w:rFonts w:ascii="仿宋" w:hAnsi="仿宋" w:eastAsia="仿宋"/>
          <w:color w:val="000000" w:themeColor="text1"/>
          <w:highlight w:val="none"/>
          <w14:textFill>
            <w14:solidFill>
              <w14:schemeClr w14:val="tx1"/>
            </w14:solidFill>
          </w14:textFill>
        </w:rPr>
        <w:t xml:space="preserve">3. </w:t>
      </w:r>
      <w:r>
        <w:rPr>
          <w:rFonts w:hint="eastAsia" w:ascii="仿宋" w:hAnsi="仿宋" w:eastAsia="仿宋"/>
          <w:color w:val="000000" w:themeColor="text1"/>
          <w:highlight w:val="none"/>
          <w14:textFill>
            <w14:solidFill>
              <w14:schemeClr w14:val="tx1"/>
            </w14:solidFill>
          </w14:textFill>
        </w:rPr>
        <w:t>合格的投标人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_Toc9871 </w:instrText>
      </w:r>
      <w:r>
        <w:rPr>
          <w:rFonts w:ascii="宋体" w:hAnsi="宋体"/>
          <w:color w:val="000000" w:themeColor="text1"/>
          <w:szCs w:val="32"/>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4</w:t>
      </w:r>
      <w:r>
        <w:rPr>
          <w:rFonts w:ascii="仿宋" w:hAnsi="仿宋" w:eastAsia="仿宋"/>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 xml:space="preserve"> 投标费用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15"/>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_Toc2383 </w:instrText>
      </w:r>
      <w:r>
        <w:rPr>
          <w:rFonts w:ascii="宋体" w:hAnsi="宋体"/>
          <w:color w:val="000000" w:themeColor="text1"/>
          <w:szCs w:val="32"/>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第二节  招标文件说明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_Toc10964 </w:instrText>
      </w:r>
      <w:r>
        <w:rPr>
          <w:rFonts w:ascii="宋体" w:hAnsi="宋体"/>
          <w:color w:val="000000" w:themeColor="text1"/>
          <w:szCs w:val="32"/>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5</w:t>
      </w:r>
      <w:r>
        <w:rPr>
          <w:rFonts w:ascii="仿宋" w:hAnsi="仿宋" w:eastAsia="仿宋"/>
          <w:color w:val="000000" w:themeColor="text1"/>
          <w:highlight w:val="non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招标文件的组成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_Toc10964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_Toc6246 </w:instrText>
      </w:r>
      <w:r>
        <w:rPr>
          <w:rFonts w:ascii="宋体" w:hAnsi="宋体"/>
          <w:color w:val="000000" w:themeColor="text1"/>
          <w:szCs w:val="32"/>
          <w:highlight w:val="none"/>
          <w14:textFill>
            <w14:solidFill>
              <w14:schemeClr w14:val="tx1"/>
            </w14:solidFill>
          </w14:textFill>
        </w:rPr>
        <w:fldChar w:fldCharType="separate"/>
      </w:r>
      <w:r>
        <w:rPr>
          <w:rFonts w:ascii="仿宋" w:hAnsi="仿宋" w:eastAsia="仿宋"/>
          <w:color w:val="000000" w:themeColor="text1"/>
          <w:highlight w:val="none"/>
          <w14:textFill>
            <w14:solidFill>
              <w14:schemeClr w14:val="tx1"/>
            </w14:solidFill>
          </w14:textFill>
        </w:rPr>
        <w:t>6. 招标文件的澄清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_Toc6246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_Toc2814 </w:instrText>
      </w:r>
      <w:r>
        <w:rPr>
          <w:rFonts w:ascii="宋体" w:hAnsi="宋体"/>
          <w:color w:val="000000" w:themeColor="text1"/>
          <w:szCs w:val="32"/>
          <w:highlight w:val="none"/>
          <w14:textFill>
            <w14:solidFill>
              <w14:schemeClr w14:val="tx1"/>
            </w14:solidFill>
          </w14:textFill>
        </w:rPr>
        <w:fldChar w:fldCharType="separate"/>
      </w:r>
      <w:r>
        <w:rPr>
          <w:rFonts w:ascii="仿宋" w:hAnsi="仿宋" w:eastAsia="仿宋"/>
          <w:color w:val="000000" w:themeColor="text1"/>
          <w:highlight w:val="none"/>
          <w14:textFill>
            <w14:solidFill>
              <w14:schemeClr w14:val="tx1"/>
            </w14:solidFill>
          </w14:textFill>
        </w:rPr>
        <w:t xml:space="preserve">7. </w:t>
      </w:r>
      <w:r>
        <w:rPr>
          <w:rFonts w:hint="eastAsia" w:ascii="仿宋" w:hAnsi="仿宋" w:eastAsia="仿宋"/>
          <w:color w:val="000000" w:themeColor="text1"/>
          <w:highlight w:val="none"/>
          <w14:textFill>
            <w14:solidFill>
              <w14:schemeClr w14:val="tx1"/>
            </w14:solidFill>
          </w14:textFill>
        </w:rPr>
        <w:t>招标文件的修改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15"/>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_Toc11325 </w:instrText>
      </w:r>
      <w:r>
        <w:rPr>
          <w:rFonts w:ascii="宋体" w:hAnsi="宋体"/>
          <w:color w:val="000000" w:themeColor="text1"/>
          <w:szCs w:val="32"/>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第三节  投标文件的编写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_Toc11325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_Toc7325 </w:instrText>
      </w:r>
      <w:r>
        <w:rPr>
          <w:rFonts w:ascii="宋体" w:hAnsi="宋体"/>
          <w:color w:val="000000" w:themeColor="text1"/>
          <w:szCs w:val="32"/>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8</w:t>
      </w:r>
      <w:r>
        <w:rPr>
          <w:rFonts w:ascii="仿宋" w:hAnsi="仿宋" w:eastAsia="仿宋"/>
          <w:color w:val="000000" w:themeColor="text1"/>
          <w:highlight w:val="non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_Toc7325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_Toc20884 </w:instrText>
      </w:r>
      <w:r>
        <w:rPr>
          <w:rFonts w:ascii="宋体" w:hAnsi="宋体"/>
          <w:color w:val="000000" w:themeColor="text1"/>
          <w:szCs w:val="32"/>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9</w:t>
      </w:r>
      <w:r>
        <w:rPr>
          <w:rFonts w:ascii="仿宋" w:hAnsi="仿宋" w:eastAsia="仿宋"/>
          <w:color w:val="000000" w:themeColor="text1"/>
          <w:highlight w:val="non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投标文件语言</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_Toc20884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_Toc22812 </w:instrText>
      </w:r>
      <w:r>
        <w:rPr>
          <w:rFonts w:ascii="宋体" w:hAnsi="宋体"/>
          <w:color w:val="000000" w:themeColor="text1"/>
          <w:szCs w:val="32"/>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10</w:t>
      </w:r>
      <w:r>
        <w:rPr>
          <w:rFonts w:ascii="仿宋" w:hAnsi="仿宋" w:eastAsia="仿宋"/>
          <w:color w:val="000000" w:themeColor="text1"/>
          <w:highlight w:val="non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投标文件的组成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_Toc22812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_Toc25901 </w:instrText>
      </w:r>
      <w:r>
        <w:rPr>
          <w:rFonts w:ascii="宋体" w:hAnsi="宋体"/>
          <w:color w:val="000000" w:themeColor="text1"/>
          <w:szCs w:val="32"/>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11</w:t>
      </w:r>
      <w:r>
        <w:rPr>
          <w:rFonts w:ascii="仿宋" w:hAnsi="仿宋" w:eastAsia="仿宋"/>
          <w:color w:val="000000" w:themeColor="text1"/>
          <w:highlight w:val="non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投标有效期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_Toc25901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_Toc22316 </w:instrText>
      </w:r>
      <w:r>
        <w:rPr>
          <w:rFonts w:ascii="宋体" w:hAnsi="宋体"/>
          <w:color w:val="000000" w:themeColor="text1"/>
          <w:szCs w:val="32"/>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12. 投标保证金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_Toc22316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_Toc1032 </w:instrText>
      </w:r>
      <w:r>
        <w:rPr>
          <w:rFonts w:ascii="宋体" w:hAnsi="宋体"/>
          <w:color w:val="000000" w:themeColor="text1"/>
          <w:szCs w:val="32"/>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13</w:t>
      </w:r>
      <w:r>
        <w:rPr>
          <w:rFonts w:ascii="仿宋" w:hAnsi="仿宋" w:eastAsia="仿宋"/>
          <w:color w:val="000000" w:themeColor="text1"/>
          <w:highlight w:val="non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投标文件的格式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15"/>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_Toc25755 </w:instrText>
      </w:r>
      <w:r>
        <w:rPr>
          <w:rFonts w:ascii="宋体" w:hAnsi="宋体"/>
          <w:color w:val="000000" w:themeColor="text1"/>
          <w:szCs w:val="32"/>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第四节  投标文件的提交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_Toc25755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_Toc32349 </w:instrText>
      </w:r>
      <w:r>
        <w:rPr>
          <w:rFonts w:ascii="宋体" w:hAnsi="宋体"/>
          <w:color w:val="000000" w:themeColor="text1"/>
          <w:szCs w:val="32"/>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14. 投标文件的密封、标记和递交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_Toc32349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15"/>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_Toc27611 </w:instrText>
      </w:r>
      <w:r>
        <w:rPr>
          <w:rFonts w:ascii="宋体" w:hAnsi="宋体"/>
          <w:color w:val="000000" w:themeColor="text1"/>
          <w:szCs w:val="32"/>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第五节</w:t>
      </w:r>
      <w:r>
        <w:rPr>
          <w:rFonts w:hint="eastAsia" w:ascii="仿宋" w:hAnsi="仿宋" w:eastAsia="仿宋"/>
          <w:color w:val="000000" w:themeColor="text1"/>
          <w:highlight w:val="none"/>
          <w:lang w:val="en-US" w:eastAsia="zh-CN"/>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投标文件的评估和比较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_Toc27611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_Toc27526 </w:instrText>
      </w:r>
      <w:r>
        <w:rPr>
          <w:rFonts w:ascii="宋体" w:hAnsi="宋体"/>
          <w:color w:val="000000" w:themeColor="text1"/>
          <w:szCs w:val="32"/>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15．开标、评标时间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_Toc27526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_Toc27330 </w:instrText>
      </w:r>
      <w:r>
        <w:rPr>
          <w:rFonts w:ascii="宋体" w:hAnsi="宋体"/>
          <w:color w:val="000000" w:themeColor="text1"/>
          <w:szCs w:val="32"/>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16．评标委员会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_Toc27330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_Toc11845 </w:instrText>
      </w:r>
      <w:r>
        <w:rPr>
          <w:rFonts w:ascii="宋体" w:hAnsi="宋体"/>
          <w:color w:val="000000" w:themeColor="text1"/>
          <w:szCs w:val="32"/>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17</w:t>
      </w:r>
      <w:r>
        <w:rPr>
          <w:rFonts w:ascii="仿宋" w:hAnsi="仿宋" w:eastAsia="仿宋"/>
          <w:color w:val="000000" w:themeColor="text1"/>
          <w:highlight w:val="non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投标文件的初审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_Toc11845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15"/>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_Toc11339 </w:instrText>
      </w:r>
      <w:r>
        <w:rPr>
          <w:rFonts w:ascii="宋体" w:hAnsi="宋体"/>
          <w:color w:val="000000" w:themeColor="text1"/>
          <w:szCs w:val="32"/>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18.评标办法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_Toc11339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_Toc29688 </w:instrText>
      </w:r>
      <w:r>
        <w:rPr>
          <w:rFonts w:ascii="宋体" w:hAnsi="宋体"/>
          <w:color w:val="000000" w:themeColor="text1"/>
          <w:szCs w:val="32"/>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19. 投标文件的澄清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_Toc29688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_Toc17762 </w:instrText>
      </w:r>
      <w:r>
        <w:rPr>
          <w:rFonts w:ascii="宋体" w:hAnsi="宋体"/>
          <w:color w:val="000000" w:themeColor="text1"/>
          <w:szCs w:val="32"/>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20. 比较与评价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_Toc17762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15"/>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_Toc20162 </w:instrText>
      </w:r>
      <w:r>
        <w:rPr>
          <w:rFonts w:ascii="宋体" w:hAnsi="宋体"/>
          <w:color w:val="000000" w:themeColor="text1"/>
          <w:szCs w:val="32"/>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第六节 定标与签订合同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_Toc20162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_Toc5372 </w:instrText>
      </w:r>
      <w:r>
        <w:rPr>
          <w:rFonts w:ascii="宋体" w:hAnsi="宋体"/>
          <w:color w:val="000000" w:themeColor="text1"/>
          <w:szCs w:val="32"/>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21</w:t>
      </w:r>
      <w:r>
        <w:rPr>
          <w:rFonts w:ascii="仿宋" w:hAnsi="仿宋" w:eastAsia="仿宋"/>
          <w:color w:val="000000" w:themeColor="text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 xml:space="preserve"> 定标准则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_Toc5372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_Toc18867 </w:instrText>
      </w:r>
      <w:r>
        <w:rPr>
          <w:rFonts w:ascii="宋体" w:hAnsi="宋体"/>
          <w:color w:val="000000" w:themeColor="text1"/>
          <w:szCs w:val="32"/>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22</w:t>
      </w:r>
      <w:r>
        <w:rPr>
          <w:rFonts w:ascii="仿宋" w:hAnsi="仿宋" w:eastAsia="仿宋"/>
          <w:color w:val="000000" w:themeColor="text1"/>
          <w:highlight w:val="non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中标通知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_Toc18867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8"/>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_Toc18956 </w:instrText>
      </w:r>
      <w:r>
        <w:rPr>
          <w:rFonts w:ascii="宋体" w:hAnsi="宋体"/>
          <w:color w:val="000000" w:themeColor="text1"/>
          <w:szCs w:val="32"/>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23. 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_Toc18956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14"/>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_Toc3955 </w:instrText>
      </w:r>
      <w:r>
        <w:rPr>
          <w:rFonts w:ascii="宋体" w:hAnsi="宋体"/>
          <w:color w:val="000000" w:themeColor="text1"/>
          <w:szCs w:val="32"/>
          <w:highlight w:val="none"/>
          <w14:textFill>
            <w14:solidFill>
              <w14:schemeClr w14:val="tx1"/>
            </w14:solidFill>
          </w14:textFill>
        </w:rPr>
        <w:fldChar w:fldCharType="separate"/>
      </w:r>
      <w:r>
        <w:rPr>
          <w:rFonts w:hint="eastAsia" w:ascii="仿宋" w:hAnsi="仿宋" w:eastAsia="仿宋"/>
          <w:color w:val="000000" w:themeColor="text1"/>
          <w:szCs w:val="32"/>
          <w:highlight w:val="none"/>
          <w14:textFill>
            <w14:solidFill>
              <w14:schemeClr w14:val="tx1"/>
            </w14:solidFill>
          </w14:textFill>
        </w:rPr>
        <w:t>第三章　招标内容及要求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_Toc3955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15"/>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_Toc17946 </w:instrText>
      </w:r>
      <w:r>
        <w:rPr>
          <w:rFonts w:ascii="宋体" w:hAnsi="宋体"/>
          <w:color w:val="000000" w:themeColor="text1"/>
          <w:szCs w:val="32"/>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第一节 项目需求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_Toc17946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15"/>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_Toc16124 </w:instrText>
      </w:r>
      <w:r>
        <w:rPr>
          <w:rFonts w:ascii="宋体" w:hAnsi="宋体"/>
          <w:color w:val="000000" w:themeColor="text1"/>
          <w:szCs w:val="32"/>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第二节 商务技术响应要求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15"/>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_Toc10625 </w:instrText>
      </w:r>
      <w:r>
        <w:rPr>
          <w:rFonts w:ascii="宋体" w:hAnsi="宋体"/>
          <w:color w:val="000000" w:themeColor="text1"/>
          <w:szCs w:val="32"/>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第三节 报价要求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_Toc10625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14"/>
        <w:tabs>
          <w:tab w:val="right" w:leader="dot" w:pos="9071"/>
        </w:tabs>
        <w:rPr>
          <w:color w:val="000000" w:themeColor="text1"/>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begin"/>
      </w:r>
      <w:r>
        <w:rPr>
          <w:rFonts w:ascii="宋体" w:hAnsi="宋体"/>
          <w:color w:val="000000" w:themeColor="text1"/>
          <w:szCs w:val="32"/>
          <w:highlight w:val="none"/>
          <w14:textFill>
            <w14:solidFill>
              <w14:schemeClr w14:val="tx1"/>
            </w14:solidFill>
          </w14:textFill>
        </w:rPr>
        <w:instrText xml:space="preserve"> HYPERLINK \l _Toc10083 </w:instrText>
      </w:r>
      <w:r>
        <w:rPr>
          <w:rFonts w:ascii="宋体" w:hAnsi="宋体"/>
          <w:color w:val="000000" w:themeColor="text1"/>
          <w:szCs w:val="32"/>
          <w:highlight w:val="none"/>
          <w14:textFill>
            <w14:solidFill>
              <w14:schemeClr w14:val="tx1"/>
            </w14:solidFill>
          </w14:textFill>
        </w:rPr>
        <w:fldChar w:fldCharType="separate"/>
      </w:r>
      <w:r>
        <w:rPr>
          <w:rFonts w:hint="eastAsia" w:ascii="仿宋" w:hAnsi="仿宋" w:eastAsia="仿宋"/>
          <w:color w:val="000000" w:themeColor="text1"/>
          <w:highlight w:val="none"/>
          <w14:textFill>
            <w14:solidFill>
              <w14:schemeClr w14:val="tx1"/>
            </w14:solidFill>
          </w14:textFill>
        </w:rPr>
        <w:t>第四章  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_Toc10083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rFonts w:ascii="宋体" w:hAnsi="宋体"/>
          <w:color w:val="000000" w:themeColor="text1"/>
          <w:szCs w:val="32"/>
          <w:highlight w:val="none"/>
          <w14:textFill>
            <w14:solidFill>
              <w14:schemeClr w14:val="tx1"/>
            </w14:solidFill>
          </w14:textFill>
        </w:rPr>
        <w:fldChar w:fldCharType="end"/>
      </w:r>
    </w:p>
    <w:p>
      <w:pPr>
        <w:pStyle w:val="14"/>
        <w:tabs>
          <w:tab w:val="right" w:leader="dot" w:pos="9061"/>
        </w:tabs>
        <w:spacing w:before="0" w:after="0" w:line="400" w:lineRule="exact"/>
        <w:rPr>
          <w:rFonts w:ascii="宋体" w:hAnsi="宋体"/>
          <w:color w:val="000000" w:themeColor="text1"/>
          <w:sz w:val="44"/>
          <w:highlight w:val="none"/>
          <w14:textFill>
            <w14:solidFill>
              <w14:schemeClr w14:val="tx1"/>
            </w14:solidFill>
          </w14:textFill>
        </w:rPr>
      </w:pPr>
      <w:r>
        <w:rPr>
          <w:rFonts w:ascii="宋体" w:hAnsi="宋体"/>
          <w:color w:val="000000" w:themeColor="text1"/>
          <w:szCs w:val="32"/>
          <w:highlight w:val="none"/>
          <w14:textFill>
            <w14:solidFill>
              <w14:schemeClr w14:val="tx1"/>
            </w14:solidFill>
          </w14:textFill>
        </w:rPr>
        <w:fldChar w:fldCharType="end"/>
      </w:r>
      <w:bookmarkStart w:id="8" w:name="_Toc51489303"/>
    </w:p>
    <w:p>
      <w:pPr>
        <w:pStyle w:val="2"/>
        <w:keepNext w:val="0"/>
        <w:keepLines w:val="0"/>
        <w:spacing w:before="120" w:beforeLines="50" w:after="240" w:afterLines="100" w:line="580" w:lineRule="exact"/>
        <w:jc w:val="center"/>
        <w:rPr>
          <w:color w:val="000000" w:themeColor="text1"/>
          <w:szCs w:val="32"/>
          <w:highlight w:val="none"/>
          <w14:textFill>
            <w14:solidFill>
              <w14:schemeClr w14:val="tx1"/>
            </w14:solidFill>
          </w14:textFill>
        </w:rPr>
      </w:pPr>
      <w:r>
        <w:rPr>
          <w:color w:val="000000" w:themeColor="text1"/>
          <w:sz w:val="52"/>
          <w:szCs w:val="52"/>
          <w:highlight w:val="none"/>
          <w14:textFill>
            <w14:solidFill>
              <w14:schemeClr w14:val="tx1"/>
            </w14:solidFill>
          </w14:textFill>
        </w:rPr>
        <w:br w:type="page"/>
      </w:r>
      <w:bookmarkStart w:id="9" w:name="_Toc16183"/>
      <w:bookmarkStart w:id="10" w:name="_Toc11682"/>
      <w:r>
        <w:rPr>
          <w:rFonts w:hint="eastAsia" w:ascii="仿宋" w:hAnsi="仿宋" w:eastAsia="仿宋" w:cs="仿宋"/>
          <w:bCs w:val="0"/>
          <w:color w:val="000000" w:themeColor="text1"/>
          <w:kern w:val="0"/>
          <w:szCs w:val="32"/>
          <w:highlight w:val="none"/>
          <w14:textFill>
            <w14:solidFill>
              <w14:schemeClr w14:val="tx1"/>
            </w14:solidFill>
          </w14:textFill>
        </w:rPr>
        <w:t>第一章　招标公告</w:t>
      </w:r>
      <w:bookmarkEnd w:id="9"/>
      <w:bookmarkEnd w:id="10"/>
    </w:p>
    <w:p>
      <w:pPr>
        <w:pStyle w:val="16"/>
        <w:shd w:val="clear" w:color="auto" w:fill="FFFFFF"/>
        <w:spacing w:line="500" w:lineRule="exact"/>
        <w:ind w:firstLine="640" w:firstLineChars="200"/>
        <w:rPr>
          <w:rFonts w:ascii="仿宋" w:hAnsi="仿宋" w:eastAsia="仿宋" w:cs="Arial"/>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展服智慧（厦门）物业服务有限公司为保证管理项目厦门国际博览中心</w:t>
      </w:r>
      <w:r>
        <w:rPr>
          <w:rFonts w:hint="eastAsia" w:ascii="仿宋" w:hAnsi="仿宋" w:eastAsia="仿宋"/>
          <w:color w:val="000000" w:themeColor="text1"/>
          <w:sz w:val="32"/>
          <w:szCs w:val="32"/>
          <w:highlight w:val="none"/>
          <w:lang w:val="zh-CN"/>
          <w14:textFill>
            <w14:solidFill>
              <w14:schemeClr w14:val="tx1"/>
            </w14:solidFill>
          </w14:textFill>
        </w:rPr>
        <w:t>202</w:t>
      </w: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eastAsia" w:ascii="仿宋" w:hAnsi="仿宋" w:eastAsia="仿宋"/>
          <w:color w:val="000000" w:themeColor="text1"/>
          <w:sz w:val="32"/>
          <w:szCs w:val="32"/>
          <w:highlight w:val="none"/>
          <w:lang w:val="zh-CN"/>
          <w14:textFill>
            <w14:solidFill>
              <w14:schemeClr w14:val="tx1"/>
            </w14:solidFill>
          </w14:textFill>
        </w:rPr>
        <w:t>全国制药机械博览会</w:t>
      </w:r>
      <w:r>
        <w:rPr>
          <w:rFonts w:hint="eastAsia" w:ascii="仿宋" w:hAnsi="仿宋" w:eastAsia="仿宋"/>
          <w:color w:val="000000" w:themeColor="text1"/>
          <w:sz w:val="32"/>
          <w:szCs w:val="32"/>
          <w:highlight w:val="none"/>
          <w14:textFill>
            <w14:solidFill>
              <w14:schemeClr w14:val="tx1"/>
            </w14:solidFill>
          </w14:textFill>
        </w:rPr>
        <w:t>现场</w:t>
      </w:r>
      <w:r>
        <w:rPr>
          <w:rFonts w:hint="eastAsia" w:ascii="仿宋" w:hAnsi="仿宋" w:eastAsia="仿宋" w:cs="仿宋"/>
          <w:color w:val="000000" w:themeColor="text1"/>
          <w:kern w:val="0"/>
          <w:sz w:val="32"/>
          <w:szCs w:val="32"/>
          <w:highlight w:val="none"/>
          <w14:textFill>
            <w14:solidFill>
              <w14:schemeClr w14:val="tx1"/>
            </w14:solidFill>
          </w14:textFill>
        </w:rPr>
        <w:t>服务项目可靠实施，现对此项目</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现场水电气接驳项目</w:t>
      </w:r>
      <w:r>
        <w:rPr>
          <w:rFonts w:hint="eastAsia" w:ascii="仿宋" w:hAnsi="仿宋" w:eastAsia="仿宋" w:cs="仿宋"/>
          <w:color w:val="000000" w:themeColor="text1"/>
          <w:kern w:val="0"/>
          <w:sz w:val="32"/>
          <w:szCs w:val="32"/>
          <w:highlight w:val="none"/>
          <w14:textFill>
            <w14:solidFill>
              <w14:schemeClr w14:val="tx1"/>
            </w14:solidFill>
          </w14:textFill>
        </w:rPr>
        <w:t>服务进行公开招标，欢迎符合资格、专业的公司参加投标</w:t>
      </w:r>
      <w:r>
        <w:rPr>
          <w:rFonts w:hint="eastAsia" w:ascii="仿宋" w:hAnsi="仿宋" w:eastAsia="仿宋" w:cs="Arial"/>
          <w:color w:val="000000" w:themeColor="text1"/>
          <w:sz w:val="32"/>
          <w:szCs w:val="32"/>
          <w:highlight w:val="none"/>
          <w14:textFill>
            <w14:solidFill>
              <w14:schemeClr w14:val="tx1"/>
            </w14:solidFill>
          </w14:textFill>
        </w:rPr>
        <w:t>。</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若有意参加此次招标，请自行在本网站</w:t>
      </w:r>
      <w:r>
        <w:rPr>
          <w:rFonts w:ascii="仿宋" w:hAnsi="仿宋" w:eastAsia="仿宋" w:cs="仿宋"/>
          <w:color w:val="000000" w:themeColor="text1"/>
          <w:kern w:val="0"/>
          <w:sz w:val="32"/>
          <w:szCs w:val="32"/>
          <w:highlight w:val="none"/>
          <w14:textFill>
            <w14:solidFill>
              <w14:schemeClr w14:val="tx1"/>
            </w14:solidFill>
          </w14:textFill>
        </w:rPr>
        <w:t>下载</w:t>
      </w:r>
      <w:r>
        <w:rPr>
          <w:rFonts w:hint="eastAsia" w:ascii="仿宋" w:hAnsi="仿宋" w:eastAsia="仿宋" w:cs="仿宋"/>
          <w:color w:val="000000" w:themeColor="text1"/>
          <w:kern w:val="0"/>
          <w:sz w:val="32"/>
          <w:szCs w:val="32"/>
          <w:highlight w:val="none"/>
          <w14:textFill>
            <w14:solidFill>
              <w14:schemeClr w14:val="tx1"/>
            </w14:solidFill>
          </w14:textFill>
        </w:rPr>
        <w:t>招标文件，此次招标的截标时间为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2024</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10</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31</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17时30分</w:t>
      </w:r>
      <w:r>
        <w:rPr>
          <w:rFonts w:ascii="仿宋" w:hAnsi="仿宋" w:eastAsia="仿宋" w:cs="仿宋"/>
          <w:color w:val="000000" w:themeColor="text1"/>
          <w:kern w:val="0"/>
          <w:sz w:val="32"/>
          <w:szCs w:val="32"/>
          <w:highlight w:val="none"/>
          <w14:textFill>
            <w14:solidFill>
              <w14:schemeClr w14:val="tx1"/>
            </w14:solidFill>
          </w14:textFill>
        </w:rPr>
        <w:t>，投标人需在</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2024</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10</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31</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17时30分</w:t>
      </w:r>
      <w:r>
        <w:rPr>
          <w:rFonts w:hint="eastAsia" w:ascii="仿宋" w:hAnsi="仿宋" w:eastAsia="仿宋" w:cs="仿宋"/>
          <w:color w:val="000000" w:themeColor="text1"/>
          <w:kern w:val="0"/>
          <w:sz w:val="32"/>
          <w:szCs w:val="32"/>
          <w:highlight w:val="none"/>
          <w14:textFill>
            <w14:solidFill>
              <w14:schemeClr w14:val="tx1"/>
            </w14:solidFill>
          </w14:textFill>
        </w:rPr>
        <w:t>前将投标</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文件</w:t>
      </w:r>
      <w:r>
        <w:rPr>
          <w:rFonts w:hint="eastAsia" w:ascii="仿宋" w:hAnsi="仿宋" w:eastAsia="仿宋" w:cs="仿宋"/>
          <w:color w:val="000000" w:themeColor="text1"/>
          <w:kern w:val="0"/>
          <w:sz w:val="32"/>
          <w:szCs w:val="32"/>
          <w:highlight w:val="none"/>
          <w14:textFill>
            <w14:solidFill>
              <w14:schemeClr w14:val="tx1"/>
            </w14:solidFill>
          </w14:textFill>
        </w:rPr>
        <w:t>正本</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份，副本</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份，电子版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份（U盘介质）提交到招标人处，在此时点之后送达的投标文件恕不接受。</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p>
    <w:p>
      <w:p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招标人：展服智慧（厦门）物业服务有限公司</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联系地址：</w:t>
      </w:r>
      <w:r>
        <w:rPr>
          <w:rFonts w:hint="eastAsia" w:ascii="仿宋" w:hAnsi="仿宋" w:eastAsia="仿宋" w:cs="仿宋"/>
          <w:b w:val="0"/>
          <w:bCs w:val="0"/>
          <w:i w:val="0"/>
          <w:iCs w:val="0"/>
          <w:caps w:val="0"/>
          <w:color w:val="000000" w:themeColor="text1"/>
          <w:spacing w:val="0"/>
          <w:sz w:val="32"/>
          <w:szCs w:val="32"/>
          <w:highlight w:val="none"/>
          <w:shd w:val="clear" w:color="auto" w:fill="FFFFFF"/>
          <w:lang w:val="en-US" w:eastAsia="zh-CN"/>
          <w14:textFill>
            <w14:solidFill>
              <w14:schemeClr w14:val="tx1"/>
            </w14:solidFill>
          </w14:textFill>
        </w:rPr>
        <w:t>厦门市翔安区扬帆路1号1-3，3号馆</w:t>
      </w:r>
    </w:p>
    <w:p>
      <w:pPr>
        <w:spacing w:line="500" w:lineRule="exact"/>
        <w:ind w:firstLine="640" w:firstLineChars="200"/>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李小姐</w:t>
      </w:r>
    </w:p>
    <w:p>
      <w:pPr>
        <w:pStyle w:val="16"/>
        <w:widowControl/>
        <w:pBdr>
          <w:top w:val="none" w:color="auto" w:sz="0" w:space="0"/>
          <w:left w:val="none" w:color="auto" w:sz="0" w:space="0"/>
          <w:bottom w:val="none" w:color="auto" w:sz="0" w:space="0"/>
          <w:right w:val="none" w:color="auto" w:sz="0" w:space="0"/>
        </w:pBdr>
        <w:shd w:val="clear" w:color="auto" w:fill="FFFFFF"/>
        <w:ind w:firstLine="6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联系电话：</w:t>
      </w:r>
      <w:r>
        <w:rPr>
          <w:rFonts w:hint="eastAsia" w:ascii="宋体" w:hAnsi="宋体" w:cs="宋体"/>
          <w:b w:val="0"/>
          <w:bCs w:val="0"/>
          <w:i w:val="0"/>
          <w:iCs w:val="0"/>
          <w:caps w:val="0"/>
          <w:color w:val="000000" w:themeColor="text1"/>
          <w:spacing w:val="0"/>
          <w:sz w:val="30"/>
          <w:szCs w:val="30"/>
          <w:highlight w:val="none"/>
          <w:shd w:val="clear" w:color="auto" w:fill="FFFFFF"/>
          <w:lang w:val="en-US" w:eastAsia="zh-CN"/>
          <w14:textFill>
            <w14:solidFill>
              <w14:schemeClr w14:val="tx1"/>
            </w14:solidFill>
          </w14:textFill>
        </w:rPr>
        <w:t>17359465587</w:t>
      </w:r>
    </w:p>
    <w:p>
      <w:pPr>
        <w:spacing w:beforeLines="-2147483648" w:line="500" w:lineRule="exact"/>
        <w:ind w:firstLine="640" w:firstLineChars="200"/>
        <w:jc w:val="left"/>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开户行：中国建设银行股份有限公司厦门湖滨支行</w:t>
      </w:r>
    </w:p>
    <w:p>
      <w:pPr>
        <w:spacing w:beforeLines="-2147483648" w:line="500" w:lineRule="exact"/>
        <w:ind w:firstLine="640" w:firstLineChars="200"/>
        <w:jc w:val="left"/>
        <w:rPr>
          <w:rFonts w:hint="eastAsia" w:ascii="仿宋" w:hAnsi="仿宋" w:eastAsia="仿宋" w:cs="仿宋"/>
          <w:color w:val="000000" w:themeColor="text1"/>
          <w:kern w:val="0"/>
          <w:sz w:val="32"/>
          <w:szCs w:val="32"/>
          <w:highlight w:val="none"/>
          <w:u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开户名：展服智慧(厦门)物业服务有限公司</w:t>
      </w:r>
    </w:p>
    <w:p>
      <w:pPr>
        <w:widowControl/>
        <w:shd w:val="clear" w:color="auto" w:fill="FFFFFF"/>
        <w:spacing w:line="500" w:lineRule="exact"/>
        <w:ind w:firstLine="640" w:firstLineChars="200"/>
        <w:rPr>
          <w:rFonts w:hint="eastAsia" w:ascii="仿宋" w:hAnsi="仿宋" w:eastAsia="仿宋" w:cs="仿宋"/>
          <w:color w:val="000000" w:themeColor="text1"/>
          <w:kern w:val="0"/>
          <w:sz w:val="32"/>
          <w:szCs w:val="32"/>
          <w:highlight w:val="none"/>
          <w:shd w:val="clear" w:color="auto" w:fill="FFFFFF"/>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账  号：35150198030100003093</w:t>
      </w:r>
    </w:p>
    <w:p>
      <w:pPr>
        <w:spacing w:line="500" w:lineRule="exact"/>
        <w:ind w:right="920"/>
        <w:rPr>
          <w:rFonts w:ascii="仿宋" w:hAnsi="仿宋" w:eastAsia="仿宋" w:cs="仿宋"/>
          <w:color w:val="000000" w:themeColor="text1"/>
          <w:kern w:val="0"/>
          <w:sz w:val="32"/>
          <w:szCs w:val="32"/>
          <w:highlight w:val="none"/>
          <w14:textFill>
            <w14:solidFill>
              <w14:schemeClr w14:val="tx1"/>
            </w14:solidFill>
          </w14:textFill>
        </w:rPr>
      </w:pPr>
    </w:p>
    <w:p>
      <w:pPr>
        <w:spacing w:line="500" w:lineRule="exact"/>
        <w:ind w:right="280" w:firstLine="640" w:firstLineChars="200"/>
        <w:jc w:val="right"/>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展服智慧(厦门)物业服务有限公司</w:t>
      </w:r>
    </w:p>
    <w:p>
      <w:pPr>
        <w:spacing w:line="500" w:lineRule="exact"/>
        <w:ind w:right="280" w:firstLine="640" w:firstLineChars="200"/>
        <w:jc w:val="right"/>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2024</w:t>
      </w:r>
      <w:r>
        <w:rPr>
          <w:rFonts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10</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24</w:t>
      </w:r>
      <w:r>
        <w:rPr>
          <w:rFonts w:hint="eastAsia" w:ascii="仿宋" w:hAnsi="仿宋" w:eastAsia="仿宋" w:cs="仿宋"/>
          <w:color w:val="000000" w:themeColor="text1"/>
          <w:kern w:val="0"/>
          <w:sz w:val="32"/>
          <w:szCs w:val="32"/>
          <w:highlight w:val="none"/>
          <w14:textFill>
            <w14:solidFill>
              <w14:schemeClr w14:val="tx1"/>
            </w14:solidFill>
          </w14:textFill>
        </w:rPr>
        <w:t>日</w:t>
      </w:r>
    </w:p>
    <w:p>
      <w:pPr>
        <w:pStyle w:val="2"/>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p>
    <w:p>
      <w:pPr>
        <w:pStyle w:val="2"/>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bookmarkStart w:id="175" w:name="_GoBack"/>
      <w:bookmarkEnd w:id="175"/>
    </w:p>
    <w:p>
      <w:pPr>
        <w:pStyle w:val="2"/>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p>
    <w:p>
      <w:pPr>
        <w:pStyle w:val="2"/>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p>
    <w:p>
      <w:pPr>
        <w:rPr>
          <w:rFonts w:ascii="仿宋" w:hAnsi="仿宋" w:eastAsia="仿宋"/>
          <w:color w:val="000000" w:themeColor="text1"/>
          <w:highlight w:val="none"/>
          <w14:textFill>
            <w14:solidFill>
              <w14:schemeClr w14:val="tx1"/>
            </w14:solidFill>
          </w14:textFill>
        </w:rPr>
      </w:pPr>
    </w:p>
    <w:p>
      <w:pPr>
        <w:rPr>
          <w:rFonts w:ascii="仿宋" w:hAnsi="仿宋" w:eastAsia="仿宋"/>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keepNext w:val="0"/>
        <w:keepLines w:val="0"/>
        <w:tabs>
          <w:tab w:val="center" w:pos="4535"/>
        </w:tabs>
        <w:spacing w:before="0" w:after="0" w:line="360" w:lineRule="auto"/>
        <w:jc w:val="left"/>
        <w:rPr>
          <w:rFonts w:ascii="仿宋" w:hAnsi="仿宋" w:eastAsia="仿宋"/>
          <w:color w:val="000000" w:themeColor="text1"/>
          <w:highlight w:val="none"/>
          <w14:textFill>
            <w14:solidFill>
              <w14:schemeClr w14:val="tx1"/>
            </w14:solidFill>
          </w14:textFill>
        </w:rPr>
      </w:pPr>
      <w:bookmarkStart w:id="11" w:name="_Toc82"/>
      <w:bookmarkStart w:id="12" w:name="_Toc8671"/>
      <w:r>
        <w:rPr>
          <w:rFonts w:hint="eastAsia" w:ascii="仿宋" w:hAnsi="仿宋" w:eastAsia="仿宋"/>
          <w:color w:val="000000" w:themeColor="text1"/>
          <w:highlight w:val="none"/>
          <w14:textFill>
            <w14:solidFill>
              <w14:schemeClr w14:val="tx1"/>
            </w14:solidFill>
          </w14:textFill>
        </w:rPr>
        <w:t>附：招标项目一览表</w:t>
      </w:r>
      <w:bookmarkEnd w:id="11"/>
      <w:bookmarkEnd w:id="12"/>
    </w:p>
    <w:tbl>
      <w:tblPr>
        <w:tblStyle w:val="17"/>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984"/>
        <w:gridCol w:w="1362"/>
        <w:gridCol w:w="1757"/>
        <w:gridCol w:w="1243"/>
        <w:gridCol w:w="184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序号</w:t>
            </w:r>
          </w:p>
        </w:tc>
        <w:tc>
          <w:tcPr>
            <w:tcW w:w="1984"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招标服务名称</w:t>
            </w:r>
          </w:p>
        </w:tc>
        <w:tc>
          <w:tcPr>
            <w:tcW w:w="1362"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招标内容及要求</w:t>
            </w:r>
          </w:p>
        </w:tc>
        <w:tc>
          <w:tcPr>
            <w:tcW w:w="1757" w:type="dxa"/>
            <w:vAlign w:val="center"/>
          </w:tcPr>
          <w:p>
            <w:pPr>
              <w:widowControl/>
              <w:spacing w:before="100" w:beforeAutospacing="1" w:after="100" w:afterAutospacing="1"/>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服务地点</w:t>
            </w:r>
          </w:p>
        </w:tc>
        <w:tc>
          <w:tcPr>
            <w:tcW w:w="1243" w:type="dxa"/>
            <w:vAlign w:val="center"/>
          </w:tcPr>
          <w:p>
            <w:pPr>
              <w:widowControl/>
              <w:spacing w:before="100" w:beforeAutospacing="1" w:after="100" w:afterAutospacing="1"/>
              <w:jc w:val="center"/>
              <w:rPr>
                <w:rFonts w:ascii="宋体" w:hAnsi="宋体" w:cs="宋体"/>
                <w:b/>
                <w:bCs w:val="0"/>
                <w:color w:val="000000" w:themeColor="text1"/>
                <w:kern w:val="0"/>
                <w:sz w:val="24"/>
                <w:highlight w:val="none"/>
                <w14:textFill>
                  <w14:solidFill>
                    <w14:schemeClr w14:val="tx1"/>
                  </w14:solidFill>
                </w14:textFill>
              </w:rPr>
            </w:pPr>
            <w:r>
              <w:rPr>
                <w:rFonts w:hint="eastAsia" w:ascii="宋体" w:hAnsi="宋体" w:cs="宋体"/>
                <w:b/>
                <w:bCs w:val="0"/>
                <w:color w:val="000000" w:themeColor="text1"/>
                <w:kern w:val="0"/>
                <w:sz w:val="24"/>
                <w:highlight w:val="none"/>
                <w14:textFill>
                  <w14:solidFill>
                    <w14:schemeClr w14:val="tx1"/>
                  </w14:solidFill>
                </w14:textFill>
              </w:rPr>
              <w:t>服务期</w:t>
            </w:r>
          </w:p>
        </w:tc>
        <w:tc>
          <w:tcPr>
            <w:tcW w:w="1843" w:type="dxa"/>
            <w:vAlign w:val="center"/>
          </w:tcPr>
          <w:p>
            <w:pPr>
              <w:widowControl/>
              <w:spacing w:before="100" w:beforeAutospacing="1" w:after="100" w:afterAutospacing="1"/>
              <w:jc w:val="center"/>
              <w:rPr>
                <w:rFonts w:hint="default" w:ascii="Times New Roman" w:hAnsi="Times New Roman" w:cs="Times New Roman"/>
                <w:b/>
                <w:bCs w:val="0"/>
                <w:color w:val="000000" w:themeColor="text1"/>
                <w:kern w:val="2"/>
                <w:sz w:val="21"/>
                <w:highlight w:val="none"/>
                <w14:textFill>
                  <w14:solidFill>
                    <w14:schemeClr w14:val="tx1"/>
                  </w14:solidFill>
                </w14:textFill>
              </w:rPr>
            </w:pPr>
            <w:r>
              <w:rPr>
                <w:rFonts w:hint="eastAsia" w:cs="Times New Roman"/>
                <w:b/>
                <w:bCs w:val="0"/>
                <w:color w:val="000000" w:themeColor="text1"/>
                <w:kern w:val="2"/>
                <w:sz w:val="21"/>
                <w:highlight w:val="none"/>
                <w:lang w:val="en-US" w:eastAsia="zh-CN"/>
                <w14:textFill>
                  <w14:solidFill>
                    <w14:schemeClr w14:val="tx1"/>
                  </w14:solidFill>
                </w14:textFill>
              </w:rPr>
              <w:t>预算</w:t>
            </w:r>
            <w:r>
              <w:rPr>
                <w:rFonts w:hint="default" w:ascii="Times New Roman" w:hAnsi="Times New Roman" w:cs="Times New Roman"/>
                <w:b/>
                <w:bCs w:val="0"/>
                <w:color w:val="000000" w:themeColor="text1"/>
                <w:kern w:val="2"/>
                <w:sz w:val="21"/>
                <w:highlight w:val="none"/>
                <w14:textFill>
                  <w14:solidFill>
                    <w14:schemeClr w14:val="tx1"/>
                  </w14:solidFill>
                </w14:textFill>
              </w:rPr>
              <w:t>价</w:t>
            </w:r>
            <w:r>
              <w:rPr>
                <w:rFonts w:hint="eastAsia" w:cs="宋体"/>
                <w:b/>
                <w:bCs w:val="0"/>
                <w:color w:val="000000" w:themeColor="text1"/>
                <w:kern w:val="0"/>
                <w:sz w:val="24"/>
                <w:highlight w:val="none"/>
                <w:lang w:eastAsia="zh-CN"/>
                <w14:textFill>
                  <w14:solidFill>
                    <w14:schemeClr w14:val="tx1"/>
                  </w14:solidFill>
                </w14:textFill>
              </w:rPr>
              <w:t>（</w:t>
            </w:r>
            <w:r>
              <w:rPr>
                <w:rFonts w:hint="eastAsia" w:cs="宋体"/>
                <w:b/>
                <w:bCs w:val="0"/>
                <w:color w:val="000000" w:themeColor="text1"/>
                <w:kern w:val="0"/>
                <w:sz w:val="24"/>
                <w:highlight w:val="none"/>
                <w:lang w:val="en-US" w:eastAsia="zh-CN"/>
                <w14:textFill>
                  <w14:solidFill>
                    <w14:schemeClr w14:val="tx1"/>
                  </w14:solidFill>
                </w14:textFill>
              </w:rPr>
              <w:t>元）</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一</w:t>
            </w:r>
          </w:p>
        </w:tc>
        <w:tc>
          <w:tcPr>
            <w:tcW w:w="1984" w:type="dxa"/>
            <w:vAlign w:val="center"/>
          </w:tcPr>
          <w:p>
            <w:pPr>
              <w:adjustRightInd w:val="0"/>
              <w:snapToGrid w:val="0"/>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智慧电箱接驳、监管、物料收集入库（包工料）</w:t>
            </w:r>
          </w:p>
        </w:tc>
        <w:tc>
          <w:tcPr>
            <w:tcW w:w="1362" w:type="dxa"/>
            <w:vAlign w:val="center"/>
          </w:tcPr>
          <w:p>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详第三章项目需求</w:t>
            </w:r>
          </w:p>
        </w:tc>
        <w:tc>
          <w:tcPr>
            <w:tcW w:w="1757" w:type="dxa"/>
            <w:vAlign w:val="center"/>
          </w:tcPr>
          <w:p>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厦门国际博览中心</w:t>
            </w:r>
          </w:p>
        </w:tc>
        <w:tc>
          <w:tcPr>
            <w:tcW w:w="1243" w:type="dxa"/>
            <w:vAlign w:val="center"/>
          </w:tcPr>
          <w:p>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202</w:t>
            </w:r>
            <w:r>
              <w:rPr>
                <w:rFonts w:hint="eastAsia" w:ascii="宋体" w:hAnsi="宋体"/>
                <w:color w:val="000000" w:themeColor="text1"/>
                <w:kern w:val="0"/>
                <w:sz w:val="24"/>
                <w:highlight w:val="none"/>
                <w:lang w:val="en-US" w:eastAsia="zh-CN"/>
                <w14:textFill>
                  <w14:solidFill>
                    <w14:schemeClr w14:val="tx1"/>
                  </w14:solidFill>
                </w14:textFill>
              </w:rPr>
              <w:t>4</w:t>
            </w:r>
            <w:r>
              <w:rPr>
                <w:rFonts w:hint="eastAsia" w:ascii="宋体" w:hAnsi="宋体"/>
                <w:color w:val="000000" w:themeColor="text1"/>
                <w:kern w:val="0"/>
                <w:sz w:val="24"/>
                <w:highlight w:val="none"/>
                <w14:textFill>
                  <w14:solidFill>
                    <w14:schemeClr w14:val="tx1"/>
                  </w14:solidFill>
                </w14:textFill>
              </w:rPr>
              <w:t>年11月12日至11月24日</w:t>
            </w:r>
          </w:p>
        </w:tc>
        <w:tc>
          <w:tcPr>
            <w:tcW w:w="1843" w:type="dxa"/>
            <w:vAlign w:val="center"/>
          </w:tcPr>
          <w:p>
            <w:pPr>
              <w:spacing w:line="360" w:lineRule="auto"/>
              <w:jc w:val="center"/>
              <w:rPr>
                <w:rFonts w:hint="default"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lang w:val="en-US" w:eastAsia="zh-CN"/>
                <w14:textFill>
                  <w14:solidFill>
                    <w14:schemeClr w14:val="tx1"/>
                  </w14:solidFill>
                </w14:textFill>
              </w:rPr>
              <w:t>330000.00</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二</w:t>
            </w:r>
          </w:p>
        </w:tc>
        <w:tc>
          <w:tcPr>
            <w:tcW w:w="1984" w:type="dxa"/>
            <w:vAlign w:val="center"/>
          </w:tcPr>
          <w:p>
            <w:pPr>
              <w:spacing w:line="360" w:lineRule="auto"/>
              <w:jc w:val="center"/>
              <w:rPr>
                <w:rFonts w:ascii="宋体" w:hAnsi="宋体" w:eastAsia="仿宋"/>
                <w:color w:val="000000" w:themeColor="text1"/>
                <w:kern w:val="0"/>
                <w:sz w:val="24"/>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展览用水接驳、监管、物料收集入库（包工料）</w:t>
            </w:r>
          </w:p>
        </w:tc>
        <w:tc>
          <w:tcPr>
            <w:tcW w:w="1362" w:type="dxa"/>
            <w:vAlign w:val="center"/>
          </w:tcPr>
          <w:p>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详第三章项目需求</w:t>
            </w:r>
          </w:p>
        </w:tc>
        <w:tc>
          <w:tcPr>
            <w:tcW w:w="1757" w:type="dxa"/>
            <w:vAlign w:val="center"/>
          </w:tcPr>
          <w:p>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厦门国际博览中心</w:t>
            </w:r>
          </w:p>
        </w:tc>
        <w:tc>
          <w:tcPr>
            <w:tcW w:w="1243" w:type="dxa"/>
            <w:vAlign w:val="center"/>
          </w:tcPr>
          <w:p>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202</w:t>
            </w:r>
            <w:r>
              <w:rPr>
                <w:rFonts w:hint="eastAsia" w:ascii="宋体" w:hAnsi="宋体"/>
                <w:color w:val="000000" w:themeColor="text1"/>
                <w:kern w:val="0"/>
                <w:sz w:val="24"/>
                <w:highlight w:val="none"/>
                <w:lang w:val="en-US" w:eastAsia="zh-CN"/>
                <w14:textFill>
                  <w14:solidFill>
                    <w14:schemeClr w14:val="tx1"/>
                  </w14:solidFill>
                </w14:textFill>
              </w:rPr>
              <w:t>4</w:t>
            </w:r>
            <w:r>
              <w:rPr>
                <w:rFonts w:hint="eastAsia" w:ascii="宋体" w:hAnsi="宋体"/>
                <w:color w:val="000000" w:themeColor="text1"/>
                <w:kern w:val="0"/>
                <w:sz w:val="24"/>
                <w:highlight w:val="none"/>
                <w14:textFill>
                  <w14:solidFill>
                    <w14:schemeClr w14:val="tx1"/>
                  </w14:solidFill>
                </w14:textFill>
              </w:rPr>
              <w:t>年11月12日至11月24日</w:t>
            </w:r>
          </w:p>
        </w:tc>
        <w:tc>
          <w:tcPr>
            <w:tcW w:w="1843" w:type="dxa"/>
            <w:vAlign w:val="center"/>
          </w:tcPr>
          <w:p>
            <w:pPr>
              <w:spacing w:line="360" w:lineRule="auto"/>
              <w:jc w:val="center"/>
              <w:rPr>
                <w:rFonts w:hint="default"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lang w:val="en-US" w:eastAsia="zh-CN"/>
                <w14:textFill>
                  <w14:solidFill>
                    <w14:schemeClr w14:val="tx1"/>
                  </w14:solidFill>
                </w14:textFill>
              </w:rPr>
              <w:t>15000.00</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1611" w:hRule="atLeast"/>
        </w:trPr>
        <w:tc>
          <w:tcPr>
            <w:tcW w:w="1025" w:type="dxa"/>
            <w:vAlign w:val="center"/>
          </w:tcPr>
          <w:p>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三</w:t>
            </w:r>
          </w:p>
        </w:tc>
        <w:tc>
          <w:tcPr>
            <w:tcW w:w="1984" w:type="dxa"/>
            <w:vAlign w:val="center"/>
          </w:tcPr>
          <w:p>
            <w:pPr>
              <w:spacing w:line="360" w:lineRule="auto"/>
              <w:jc w:val="center"/>
              <w:rPr>
                <w:rFonts w:ascii="宋体" w:hAnsi="宋体" w:eastAsia="仿宋"/>
                <w:color w:val="000000" w:themeColor="text1"/>
                <w:kern w:val="0"/>
                <w:sz w:val="24"/>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展览用气接驳、监管、物料收集入库（包工料）</w:t>
            </w:r>
          </w:p>
        </w:tc>
        <w:tc>
          <w:tcPr>
            <w:tcW w:w="1362" w:type="dxa"/>
            <w:vAlign w:val="center"/>
          </w:tcPr>
          <w:p>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详第三章项目需求</w:t>
            </w:r>
          </w:p>
        </w:tc>
        <w:tc>
          <w:tcPr>
            <w:tcW w:w="1757" w:type="dxa"/>
            <w:vAlign w:val="center"/>
          </w:tcPr>
          <w:p>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厦门国际博览中心</w:t>
            </w:r>
          </w:p>
        </w:tc>
        <w:tc>
          <w:tcPr>
            <w:tcW w:w="1243" w:type="dxa"/>
            <w:vAlign w:val="center"/>
          </w:tcPr>
          <w:p>
            <w:pPr>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202</w:t>
            </w:r>
            <w:r>
              <w:rPr>
                <w:rFonts w:hint="eastAsia" w:ascii="宋体" w:hAnsi="宋体"/>
                <w:color w:val="000000" w:themeColor="text1"/>
                <w:kern w:val="0"/>
                <w:sz w:val="24"/>
                <w:highlight w:val="none"/>
                <w:lang w:val="en-US" w:eastAsia="zh-CN"/>
                <w14:textFill>
                  <w14:solidFill>
                    <w14:schemeClr w14:val="tx1"/>
                  </w14:solidFill>
                </w14:textFill>
              </w:rPr>
              <w:t>4</w:t>
            </w:r>
            <w:r>
              <w:rPr>
                <w:rFonts w:hint="eastAsia" w:ascii="宋体" w:hAnsi="宋体"/>
                <w:color w:val="000000" w:themeColor="text1"/>
                <w:kern w:val="0"/>
                <w:sz w:val="24"/>
                <w:highlight w:val="none"/>
                <w14:textFill>
                  <w14:solidFill>
                    <w14:schemeClr w14:val="tx1"/>
                  </w14:solidFill>
                </w14:textFill>
              </w:rPr>
              <w:t>年11月12日至11月24日</w:t>
            </w:r>
          </w:p>
        </w:tc>
        <w:tc>
          <w:tcPr>
            <w:tcW w:w="1843" w:type="dxa"/>
            <w:vAlign w:val="center"/>
          </w:tcPr>
          <w:p>
            <w:pPr>
              <w:spacing w:line="360" w:lineRule="auto"/>
              <w:jc w:val="center"/>
              <w:rPr>
                <w:rFonts w:hint="default"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lang w:val="en-US" w:eastAsia="zh-CN"/>
                <w14:textFill>
                  <w14:solidFill>
                    <w14:schemeClr w14:val="tx1"/>
                  </w14:solidFill>
                </w14:textFill>
              </w:rPr>
              <w:t>15000.00</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hint="eastAsia" w:ascii="宋体" w:hAnsi="宋体" w:eastAsia="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四</w:t>
            </w:r>
          </w:p>
        </w:tc>
        <w:tc>
          <w:tcPr>
            <w:tcW w:w="6346" w:type="dxa"/>
            <w:gridSpan w:val="4"/>
            <w:vAlign w:val="center"/>
          </w:tcPr>
          <w:p>
            <w:pPr>
              <w:spacing w:line="360" w:lineRule="auto"/>
              <w:jc w:val="center"/>
              <w:rPr>
                <w:rFonts w:hint="default"/>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预算价合计（控制价四=一+</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二+三）</w:t>
            </w:r>
          </w:p>
        </w:tc>
        <w:tc>
          <w:tcPr>
            <w:tcW w:w="1843" w:type="dxa"/>
            <w:vAlign w:val="center"/>
          </w:tcPr>
          <w:p>
            <w:pPr>
              <w:spacing w:line="360" w:lineRule="auto"/>
              <w:jc w:val="center"/>
              <w:rPr>
                <w:rFonts w:hint="default" w:ascii="宋体" w:hAnsi="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lang w:val="en-US" w:eastAsia="zh-CN"/>
                <w14:textFill>
                  <w14:solidFill>
                    <w14:schemeClr w14:val="tx1"/>
                  </w14:solidFill>
                </w14:textFill>
              </w:rPr>
              <w:t>360000.00</w:t>
            </w:r>
          </w:p>
        </w:tc>
      </w:tr>
    </w:tbl>
    <w:p>
      <w:pPr>
        <w:rPr>
          <w:color w:val="000000" w:themeColor="text1"/>
          <w:highlight w:val="none"/>
          <w14:textFill>
            <w14:solidFill>
              <w14:schemeClr w14:val="tx1"/>
            </w14:solidFill>
          </w14:textFill>
        </w:rPr>
      </w:pPr>
    </w:p>
    <w:p>
      <w:pPr>
        <w:spacing w:line="500" w:lineRule="exact"/>
        <w:ind w:firstLine="560" w:firstLineChars="200"/>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备注：</w:t>
      </w:r>
    </w:p>
    <w:p>
      <w:pPr>
        <w:spacing w:line="500" w:lineRule="exact"/>
        <w:ind w:firstLine="640" w:firstLineChars="200"/>
        <w:rPr>
          <w:rFonts w:ascii="仿宋" w:hAnsi="仿宋" w:eastAsia="仿宋" w:cs="仿宋"/>
          <w:bCs/>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1、服务期：于11月12日至11月1</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5</w:t>
      </w:r>
      <w:r>
        <w:rPr>
          <w:rFonts w:hint="eastAsia" w:ascii="仿宋" w:hAnsi="仿宋" w:eastAsia="仿宋" w:cs="仿宋"/>
          <w:color w:val="000000" w:themeColor="text1"/>
          <w:kern w:val="0"/>
          <w:sz w:val="32"/>
          <w:szCs w:val="32"/>
          <w:highlight w:val="none"/>
          <w14:textFill>
            <w14:solidFill>
              <w14:schemeClr w14:val="tx1"/>
            </w14:solidFill>
          </w14:textFill>
        </w:rPr>
        <w:t>日进行水电气接驳与现场监管，11月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16</w:t>
      </w:r>
      <w:r>
        <w:rPr>
          <w:rFonts w:hint="eastAsia" w:ascii="仿宋" w:hAnsi="仿宋" w:eastAsia="仿宋" w:cs="仿宋"/>
          <w:color w:val="000000" w:themeColor="text1"/>
          <w:kern w:val="0"/>
          <w:sz w:val="32"/>
          <w:szCs w:val="32"/>
          <w:highlight w:val="none"/>
          <w14:textFill>
            <w14:solidFill>
              <w14:schemeClr w14:val="tx1"/>
            </w14:solidFill>
          </w14:textFill>
        </w:rPr>
        <w:t>日至11月24日完成相关物料收集入库，</w:t>
      </w:r>
      <w:r>
        <w:rPr>
          <w:rFonts w:hint="eastAsia" w:ascii="仿宋" w:hAnsi="仿宋" w:eastAsia="仿宋" w:cs="仿宋"/>
          <w:b w:val="0"/>
          <w:bCs/>
          <w:color w:val="000000" w:themeColor="text1"/>
          <w:kern w:val="0"/>
          <w:sz w:val="32"/>
          <w:szCs w:val="32"/>
          <w:highlight w:val="none"/>
          <w14:textFill>
            <w14:solidFill>
              <w14:schemeClr w14:val="tx1"/>
            </w14:solidFill>
          </w14:textFill>
        </w:rPr>
        <w:t>各投标人应对此作出承诺。</w:t>
      </w:r>
    </w:p>
    <w:p>
      <w:pPr>
        <w:numPr>
          <w:ilvl w:val="0"/>
          <w:numId w:val="1"/>
        </w:numPr>
        <w:spacing w:line="500" w:lineRule="exact"/>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招标项目一览表”为根据2023年药机展满馆的一半费用测算2024年药机展期间招标人所能获得业务费用，</w:t>
      </w:r>
      <w:r>
        <w:rPr>
          <w:rFonts w:hint="eastAsia" w:ascii="仿宋" w:hAnsi="仿宋" w:eastAsia="仿宋" w:cs="仿宋"/>
          <w:color w:val="000000" w:themeColor="text1"/>
          <w:kern w:val="0"/>
          <w:sz w:val="32"/>
          <w:szCs w:val="32"/>
          <w:highlight w:val="none"/>
          <w14:textFill>
            <w14:solidFill>
              <w14:schemeClr w14:val="tx1"/>
            </w14:solidFill>
          </w14:textFill>
        </w:rPr>
        <w:t>投标人的投标</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总</w:t>
      </w:r>
      <w:r>
        <w:rPr>
          <w:rFonts w:hint="eastAsia" w:ascii="仿宋" w:hAnsi="仿宋" w:eastAsia="仿宋" w:cs="仿宋"/>
          <w:color w:val="000000" w:themeColor="text1"/>
          <w:kern w:val="0"/>
          <w:sz w:val="32"/>
          <w:szCs w:val="32"/>
          <w:highlight w:val="none"/>
          <w14:textFill>
            <w14:solidFill>
              <w14:schemeClr w14:val="tx1"/>
            </w14:solidFill>
          </w14:textFill>
        </w:rPr>
        <w:t>报价不得超过本项目的控制价，否则将被视为无效投标响应。</w:t>
      </w:r>
    </w:p>
    <w:p>
      <w:pPr>
        <w:pStyle w:val="9"/>
        <w:numPr>
          <w:ilvl w:val="0"/>
          <w:numId w:val="0"/>
        </w:num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3、最终结算以招标人实际从国贸展览中心有限公司结算费用/2023年度64届药机展结算费用一半（37.5万）为比例与中标价乘积扣除违约扣款后作为结算金额，即结算金额=中标价*投标人实际接受委托费用/37.5—违约扣款（单位：万元）。</w:t>
      </w:r>
    </w:p>
    <w:p>
      <w:pPr>
        <w:spacing w:line="500" w:lineRule="exact"/>
        <w:ind w:firstLine="640" w:firstLineChars="200"/>
        <w:rPr>
          <w:rFonts w:hint="default" w:ascii="仿宋" w:hAnsi="仿宋" w:eastAsia="仿宋" w:cs="仿宋"/>
          <w:color w:val="000000" w:themeColor="text1"/>
          <w:kern w:val="0"/>
          <w:sz w:val="32"/>
          <w:szCs w:val="32"/>
          <w:highlight w:val="none"/>
          <w:lang w:val="en-US"/>
          <w14:textFill>
            <w14:solidFill>
              <w14:schemeClr w14:val="tx1"/>
            </w14:solidFill>
          </w14:textFill>
        </w:rPr>
      </w:pPr>
      <w:r>
        <w:rPr>
          <w:rFonts w:hint="eastAsia" w:ascii="仿宋" w:hAnsi="仿宋" w:eastAsia="仿宋"/>
          <w:b w:val="0"/>
          <w:bCs w:val="0"/>
          <w:color w:val="000000" w:themeColor="text1"/>
          <w:sz w:val="32"/>
          <w:szCs w:val="32"/>
          <w:highlight w:val="none"/>
          <w:lang w:val="en-US" w:eastAsia="zh-CN"/>
          <w14:textFill>
            <w14:solidFill>
              <w14:schemeClr w14:val="tx1"/>
            </w14:solidFill>
          </w14:textFill>
        </w:rPr>
        <w:t>4、</w:t>
      </w:r>
      <w:r>
        <w:rPr>
          <w:rFonts w:hint="eastAsia" w:ascii="仿宋" w:hAnsi="仿宋" w:eastAsia="仿宋"/>
          <w:b w:val="0"/>
          <w:bCs w:val="0"/>
          <w:color w:val="000000" w:themeColor="text1"/>
          <w:sz w:val="32"/>
          <w:szCs w:val="32"/>
          <w:highlight w:val="none"/>
          <w14:textFill>
            <w14:solidFill>
              <w14:schemeClr w14:val="tx1"/>
            </w14:solidFill>
          </w14:textFill>
        </w:rPr>
        <w:t>投标文件的正本一份，副本一份，电子版U盘一份</w:t>
      </w:r>
      <w:r>
        <w:rPr>
          <w:rFonts w:hint="eastAsia" w:ascii="仿宋" w:hAnsi="仿宋" w:eastAsia="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b w:val="0"/>
          <w:bCs w:val="0"/>
          <w:color w:val="000000" w:themeColor="text1"/>
          <w:sz w:val="32"/>
          <w:szCs w:val="32"/>
          <w:highlight w:val="none"/>
          <w14:textFill>
            <w14:solidFill>
              <w14:schemeClr w14:val="tx1"/>
            </w14:solidFill>
          </w14:textFill>
        </w:rPr>
        <w:t>电子版内容须包含报价清单及报价文件</w:t>
      </w:r>
      <w:r>
        <w:rPr>
          <w:rFonts w:hint="eastAsia" w:ascii="仿宋" w:hAnsi="仿宋" w:eastAsia="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highlight w:val="none"/>
          <w14:textFill>
            <w14:solidFill>
              <w14:schemeClr w14:val="tx1"/>
            </w14:solidFill>
          </w14:textFill>
        </w:rPr>
        <w:t>密封提交</w:t>
      </w:r>
      <w:r>
        <w:rPr>
          <w:rFonts w:hint="eastAsia" w:ascii="仿宋" w:hAnsi="仿宋" w:eastAsia="仿宋"/>
          <w:b w:val="0"/>
          <w:bCs w:val="0"/>
          <w:color w:val="000000" w:themeColor="text1"/>
          <w:sz w:val="32"/>
          <w:szCs w:val="32"/>
          <w:highlight w:val="none"/>
          <w:lang w:eastAsia="zh-CN"/>
          <w14:textFill>
            <w14:solidFill>
              <w14:schemeClr w14:val="tx1"/>
            </w14:solidFill>
          </w14:textFill>
        </w:rPr>
        <w:t>。</w:t>
      </w:r>
    </w:p>
    <w:p>
      <w:pPr>
        <w:pStyle w:val="2"/>
        <w:spacing w:after="120" w:afterLines="50"/>
        <w:ind w:firstLine="0" w:firstLineChars="0"/>
        <w:jc w:val="left"/>
        <w:rPr>
          <w:rFonts w:ascii="仿宋" w:hAnsi="仿宋" w:eastAsia="仿宋" w:cs="仿宋"/>
          <w:b w:val="0"/>
          <w:bCs w:val="0"/>
          <w:color w:val="000000" w:themeColor="text1"/>
          <w:kern w:val="0"/>
          <w:szCs w:val="32"/>
          <w:highlight w:val="none"/>
          <w14:textFill>
            <w14:solidFill>
              <w14:schemeClr w14:val="tx1"/>
            </w14:solidFill>
          </w14:textFill>
        </w:rPr>
      </w:pPr>
      <w:r>
        <w:rPr>
          <w:rFonts w:ascii="仿宋" w:hAnsi="仿宋" w:eastAsia="仿宋" w:cs="仿宋"/>
          <w:color w:val="000000" w:themeColor="text1"/>
          <w:kern w:val="0"/>
          <w:sz w:val="28"/>
          <w:szCs w:val="28"/>
          <w:highlight w:val="none"/>
          <w14:textFill>
            <w14:solidFill>
              <w14:schemeClr w14:val="tx1"/>
            </w14:solidFill>
          </w14:textFill>
        </w:rPr>
        <w:br w:type="page"/>
      </w:r>
      <w:bookmarkStart w:id="13" w:name="_Toc9920"/>
      <w:bookmarkStart w:id="14" w:name="_Toc14010"/>
      <w:r>
        <w:rPr>
          <w:rFonts w:hint="eastAsia" w:ascii="仿宋" w:hAnsi="仿宋" w:eastAsia="仿宋" w:cs="仿宋"/>
          <w:color w:val="000000" w:themeColor="text1"/>
          <w:kern w:val="0"/>
          <w:szCs w:val="32"/>
          <w:highlight w:val="none"/>
          <w14:textFill>
            <w14:solidFill>
              <w14:schemeClr w14:val="tx1"/>
            </w14:solidFill>
          </w14:textFill>
        </w:rPr>
        <w:t>第二章　投标人须知</w:t>
      </w:r>
      <w:bookmarkEnd w:id="13"/>
      <w:bookmarkEnd w:id="14"/>
    </w:p>
    <w:p>
      <w:pPr>
        <w:spacing w:line="500" w:lineRule="exact"/>
        <w:ind w:firstLine="643" w:firstLineChars="200"/>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投标人须知前附表</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本须知前附表的内容是与《投标人须知》中条款的内容对应的。如有矛盾，应以本须知前附表为准。</w:t>
      </w:r>
    </w:p>
    <w:tbl>
      <w:tblPr>
        <w:tblStyle w:val="17"/>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项号</w:t>
            </w:r>
          </w:p>
        </w:tc>
        <w:tc>
          <w:tcPr>
            <w:tcW w:w="9071"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p>
        </w:tc>
        <w:tc>
          <w:tcPr>
            <w:tcW w:w="9071" w:type="dxa"/>
            <w:vAlign w:val="center"/>
          </w:tcPr>
          <w:p>
            <w:pPr>
              <w:spacing w:line="400" w:lineRule="exact"/>
              <w:rPr>
                <w:rFonts w:ascii="仿宋" w:hAnsi="仿宋" w:eastAsia="仿宋" w:cs="仿宋"/>
                <w:bCs/>
                <w:color w:val="000000" w:themeColor="text1"/>
                <w:sz w:val="28"/>
                <w:szCs w:val="28"/>
                <w:highlight w:val="none"/>
                <w:lang w:val="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30"/>
                <w:szCs w:val="30"/>
                <w:highlight w:val="none"/>
                <w:lang w:val="zh-CN"/>
                <w14:textFill>
                  <w14:solidFill>
                    <w14:schemeClr w14:val="tx1"/>
                  </w14:solidFill>
                </w14:textFill>
              </w:rPr>
              <w:t>202</w:t>
            </w:r>
            <w:r>
              <w:rPr>
                <w:rFonts w:hint="eastAsia" w:ascii="仿宋" w:hAnsi="仿宋" w:eastAsia="仿宋"/>
                <w:color w:val="000000" w:themeColor="text1"/>
                <w:sz w:val="30"/>
                <w:szCs w:val="30"/>
                <w:highlight w:val="none"/>
                <w:lang w:val="en-US" w:eastAsia="zh-CN"/>
                <w14:textFill>
                  <w14:solidFill>
                    <w14:schemeClr w14:val="tx1"/>
                  </w14:solidFill>
                </w14:textFill>
              </w:rPr>
              <w:t>4</w:t>
            </w:r>
            <w:r>
              <w:rPr>
                <w:rFonts w:hint="eastAsia" w:ascii="仿宋" w:hAnsi="仿宋" w:eastAsia="仿宋"/>
                <w:color w:val="000000" w:themeColor="text1"/>
                <w:sz w:val="30"/>
                <w:szCs w:val="30"/>
                <w:highlight w:val="none"/>
                <w:lang w:val="zh-CN"/>
                <w14:textFill>
                  <w14:solidFill>
                    <w14:schemeClr w14:val="tx1"/>
                  </w14:solidFill>
                </w14:textFill>
              </w:rPr>
              <w:t>全国制药机械博览会</w:t>
            </w:r>
            <w:r>
              <w:rPr>
                <w:rFonts w:hint="eastAsia" w:ascii="仿宋" w:hAnsi="仿宋" w:eastAsia="仿宋"/>
                <w:color w:val="000000" w:themeColor="text1"/>
                <w:sz w:val="30"/>
                <w:szCs w:val="30"/>
                <w:highlight w:val="none"/>
                <w14:textFill>
                  <w14:solidFill>
                    <w14:schemeClr w14:val="tx1"/>
                  </w14:solidFill>
                </w14:textFill>
              </w:rPr>
              <w:t>现场水、电、气接驳服务</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招标人：展服智慧（厦门）物业服务有限公司</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项目内容：见“招标项目一览表”</w:t>
            </w:r>
          </w:p>
          <w:p>
            <w:pPr>
              <w:spacing w:line="400" w:lineRule="exac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p>
        </w:tc>
        <w:tc>
          <w:tcPr>
            <w:tcW w:w="9071" w:type="dxa"/>
            <w:vAlign w:val="center"/>
          </w:tcPr>
          <w:p>
            <w:pPr>
              <w:tabs>
                <w:tab w:val="left" w:pos="-1260"/>
                <w:tab w:val="left" w:pos="10260"/>
              </w:tabs>
              <w:spacing w:line="400" w:lineRule="exact"/>
              <w:rPr>
                <w:rFonts w:ascii="仿宋" w:hAnsi="仿宋" w:eastAsia="仿宋"/>
                <w:color w:val="000000" w:themeColor="text1"/>
                <w:spacing w:val="-4"/>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资格标准：</w:t>
            </w:r>
            <w:r>
              <w:rPr>
                <w:rFonts w:hint="eastAsia" w:ascii="仿宋" w:hAnsi="仿宋" w:eastAsia="仿宋"/>
                <w:color w:val="000000" w:themeColor="text1"/>
                <w:spacing w:val="-4"/>
                <w:sz w:val="28"/>
                <w:szCs w:val="28"/>
                <w:highlight w:val="none"/>
                <w14:textFill>
                  <w14:solidFill>
                    <w14:schemeClr w14:val="tx1"/>
                  </w14:solidFill>
                </w14:textFill>
              </w:rPr>
              <w:t>详细见</w:t>
            </w:r>
            <w:r>
              <w:rPr>
                <w:rFonts w:hint="eastAsia" w:ascii="仿宋" w:hAnsi="仿宋" w:eastAsia="仿宋" w:cs="Arial"/>
                <w:color w:val="000000" w:themeColor="text1"/>
                <w:sz w:val="28"/>
                <w:szCs w:val="28"/>
                <w:highlight w:val="none"/>
                <w14:textFill>
                  <w14:solidFill>
                    <w14:schemeClr w14:val="tx1"/>
                  </w14:solidFill>
                </w14:textFill>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w:t>
            </w:r>
          </w:p>
        </w:tc>
        <w:tc>
          <w:tcPr>
            <w:tcW w:w="9071" w:type="dxa"/>
            <w:vAlign w:val="center"/>
          </w:tcPr>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投标有效期：</w:t>
            </w:r>
            <w:r>
              <w:rPr>
                <w:rFonts w:hint="eastAsia" w:ascii="仿宋" w:hAnsi="仿宋" w:eastAsia="仿宋" w:cs="宋体"/>
                <w:color w:val="000000" w:themeColor="text1"/>
                <w:kern w:val="0"/>
                <w:sz w:val="30"/>
                <w:szCs w:val="30"/>
                <w:highlight w:val="none"/>
                <w14:textFill>
                  <w14:solidFill>
                    <w14:schemeClr w14:val="tx1"/>
                  </w14:solidFill>
                </w14:textFill>
              </w:rPr>
              <w:t>投标截止期结束后90日历日。</w:t>
            </w:r>
            <w:r>
              <w:rPr>
                <w:rFonts w:hint="eastAsia" w:ascii="仿宋" w:hAnsi="仿宋" w:eastAsia="仿宋"/>
                <w:color w:val="000000" w:themeColor="text1"/>
                <w:sz w:val="28"/>
                <w:szCs w:val="28"/>
                <w:highlight w:val="none"/>
                <w14:textFill>
                  <w14:solidFill>
                    <w14:schemeClr w14:val="tx1"/>
                  </w14:solidFill>
                </w14:textFill>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w:t>
            </w:r>
          </w:p>
        </w:tc>
        <w:tc>
          <w:tcPr>
            <w:tcW w:w="9071" w:type="dxa"/>
            <w:vAlign w:val="center"/>
          </w:tcPr>
          <w:p>
            <w:pPr>
              <w:spacing w:line="50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投标文件递交地址：</w:t>
            </w:r>
            <w:r>
              <w:rPr>
                <w:rFonts w:hint="eastAsia" w:ascii="仿宋" w:hAnsi="仿宋" w:eastAsia="仿宋" w:cs="仿宋"/>
                <w:b w:val="0"/>
                <w:bCs w:val="0"/>
                <w:i w:val="0"/>
                <w:iCs w:val="0"/>
                <w:caps w:val="0"/>
                <w:color w:val="000000" w:themeColor="text1"/>
                <w:spacing w:val="0"/>
                <w:sz w:val="28"/>
                <w:szCs w:val="28"/>
                <w:highlight w:val="none"/>
                <w:shd w:val="clear" w:color="auto" w:fill="FFFFFF"/>
                <w:lang w:val="en-US" w:eastAsia="zh-CN"/>
                <w14:textFill>
                  <w14:solidFill>
                    <w14:schemeClr w14:val="tx1"/>
                  </w14:solidFill>
                </w14:textFill>
              </w:rPr>
              <w:t>厦门市翔安区扬帆路1号1-3，3号馆</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5</w:t>
            </w:r>
          </w:p>
        </w:tc>
        <w:tc>
          <w:tcPr>
            <w:tcW w:w="9071" w:type="dxa"/>
            <w:vAlign w:val="center"/>
          </w:tcPr>
          <w:p>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★投标保证金：</w:t>
            </w:r>
            <w:r>
              <w:rPr>
                <w:rFonts w:hint="eastAsia" w:ascii="仿宋" w:hAnsi="仿宋" w:eastAsia="仿宋"/>
                <w:b/>
                <w:color w:val="000000" w:themeColor="text1"/>
                <w:sz w:val="28"/>
                <w:szCs w:val="28"/>
                <w:highlight w:val="none"/>
                <w14:textFill>
                  <w14:solidFill>
                    <w14:schemeClr w14:val="tx1"/>
                  </w14:solidFill>
                </w14:textFill>
              </w:rPr>
              <w:t>人民币</w:t>
            </w:r>
            <w:r>
              <w:rPr>
                <w:rFonts w:hint="eastAsia" w:ascii="仿宋" w:hAnsi="仿宋" w:eastAsia="仿宋"/>
                <w:b/>
                <w:color w:val="000000" w:themeColor="text1"/>
                <w:sz w:val="28"/>
                <w:szCs w:val="28"/>
                <w:highlight w:val="none"/>
                <w:lang w:val="en-US" w:eastAsia="zh-CN"/>
                <w14:textFill>
                  <w14:solidFill>
                    <w14:schemeClr w14:val="tx1"/>
                  </w14:solidFill>
                </w14:textFill>
              </w:rPr>
              <w:t>5000.00</w:t>
            </w:r>
            <w:r>
              <w:rPr>
                <w:rFonts w:hint="eastAsia" w:ascii="仿宋" w:hAnsi="仿宋" w:eastAsia="仿宋"/>
                <w:b/>
                <w:color w:val="000000" w:themeColor="text1"/>
                <w:sz w:val="28"/>
                <w:szCs w:val="28"/>
                <w:highlight w:val="none"/>
                <w14:textFill>
                  <w14:solidFill>
                    <w14:schemeClr w14:val="tx1"/>
                  </w14:solidFill>
                </w14:textFill>
              </w:rPr>
              <w:t>元整。</w:t>
            </w:r>
          </w:p>
          <w:p>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color w:val="000000" w:themeColor="text1"/>
                <w:sz w:val="28"/>
                <w:szCs w:val="28"/>
                <w:highlight w:val="none"/>
                <w14:textFill>
                  <w14:solidFill>
                    <w14:schemeClr w14:val="tx1"/>
                  </w14:solidFill>
                </w14:textFill>
              </w:rPr>
              <w:t>投标文件中应体现投标保证金的缴交凭证。</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2、保证金的退还：</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①</w:t>
            </w:r>
            <w:r>
              <w:rPr>
                <w:rFonts w:hint="eastAsia" w:ascii="仿宋" w:hAnsi="仿宋" w:eastAsia="仿宋"/>
                <w:color w:val="000000" w:themeColor="text1"/>
                <w:sz w:val="28"/>
                <w:szCs w:val="28"/>
                <w:highlight w:val="none"/>
                <w14:textFill>
                  <w14:solidFill>
                    <w14:schemeClr w14:val="tx1"/>
                  </w14:solidFill>
                </w14:textFill>
              </w:rPr>
              <w:t>招标人将在《中标通知书》发出之日起20个工作日内予以原额无息退还未中标人的投标保证金。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6</w:t>
            </w:r>
          </w:p>
        </w:tc>
        <w:tc>
          <w:tcPr>
            <w:tcW w:w="9071" w:type="dxa"/>
            <w:vAlign w:val="center"/>
          </w:tcPr>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中标人在收到中标通知书后签订采购合同，原投标保证金直接作为合同履约保证金。履约保证金在双方合同终止、交接清楚、质保期（或保修期）结束和债权债务等关系理顺后30日历天内无息返还。</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 xml:space="preserve">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7</w:t>
            </w:r>
          </w:p>
        </w:tc>
        <w:tc>
          <w:tcPr>
            <w:tcW w:w="9071" w:type="dxa"/>
            <w:vAlign w:val="center"/>
          </w:tcPr>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★招标预算价（即最高控制价）为：</w:t>
            </w:r>
            <w:r>
              <w:rPr>
                <w:rFonts w:hint="eastAsia" w:ascii="仿宋" w:hAnsi="仿宋" w:eastAsia="仿宋"/>
                <w:b/>
                <w:color w:val="000000" w:themeColor="text1"/>
                <w:sz w:val="28"/>
                <w:szCs w:val="28"/>
                <w:highlight w:val="none"/>
                <w:lang w:val="en-US" w:eastAsia="zh-CN"/>
                <w14:textFill>
                  <w14:solidFill>
                    <w14:schemeClr w14:val="tx1"/>
                  </w14:solidFill>
                </w14:textFill>
              </w:rPr>
              <w:t>36</w:t>
            </w:r>
            <w:r>
              <w:rPr>
                <w:rFonts w:hint="eastAsia" w:ascii="仿宋" w:hAnsi="仿宋" w:eastAsia="仿宋" w:cs="宋体"/>
                <w:b/>
                <w:color w:val="000000" w:themeColor="text1"/>
                <w:kern w:val="0"/>
                <w:sz w:val="28"/>
                <w:szCs w:val="28"/>
                <w:highlight w:val="none"/>
                <w14:textFill>
                  <w14:solidFill>
                    <w14:schemeClr w14:val="tx1"/>
                  </w14:solidFill>
                </w14:textFill>
              </w:rPr>
              <w:t>万元。</w:t>
            </w:r>
            <w:r>
              <w:rPr>
                <w:rFonts w:hint="eastAsia" w:ascii="仿宋" w:hAnsi="仿宋" w:eastAsia="仿宋"/>
                <w:b/>
                <w:color w:val="000000" w:themeColor="text1"/>
                <w:sz w:val="28"/>
                <w:szCs w:val="28"/>
                <w:highlight w:val="none"/>
                <w14:textFill>
                  <w14:solidFill>
                    <w14:schemeClr w14:val="tx1"/>
                  </w14:solidFill>
                </w14:textFill>
              </w:rPr>
              <w:t>投标人投标报价超过预算价的投标为无效投标</w:t>
            </w:r>
            <w:r>
              <w:rPr>
                <w:rFonts w:hint="eastAsia" w:ascii="仿宋" w:hAnsi="仿宋" w:eastAsia="仿宋"/>
                <w:color w:val="000000" w:themeColor="text1"/>
                <w:sz w:val="28"/>
                <w:szCs w:val="28"/>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8</w:t>
            </w:r>
          </w:p>
        </w:tc>
        <w:tc>
          <w:tcPr>
            <w:tcW w:w="9071" w:type="dxa"/>
            <w:vAlign w:val="center"/>
          </w:tcPr>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评标标准和方法：本次招标采用</w:t>
            </w:r>
            <w:r>
              <w:rPr>
                <w:rFonts w:hint="eastAsia" w:ascii="仿宋" w:hAnsi="仿宋" w:eastAsia="仿宋"/>
                <w:color w:val="000000" w:themeColor="text1"/>
                <w:sz w:val="32"/>
                <w:szCs w:val="32"/>
                <w:highlight w:val="none"/>
                <w:u w:val="single"/>
                <w14:textFill>
                  <w14:solidFill>
                    <w14:schemeClr w14:val="tx1"/>
                  </w14:solidFill>
                </w14:textFill>
              </w:rPr>
              <w:t>综合评分法</w:t>
            </w:r>
            <w:r>
              <w:rPr>
                <w:rFonts w:hint="eastAsia" w:ascii="仿宋" w:hAnsi="仿宋" w:eastAsia="仿宋"/>
                <w:color w:val="000000" w:themeColor="text1"/>
                <w:sz w:val="28"/>
                <w:szCs w:val="28"/>
                <w:highlight w:val="none"/>
                <w14:textFill>
                  <w14:solidFill>
                    <w14:schemeClr w14:val="tx1"/>
                  </w14:solidFill>
                </w14:textFill>
              </w:rPr>
              <w:t>评标。首先，由评标委员会根据招标文件要求(无效投标界定)，审核各投标文件是否合格、有效，凡不符合专业条件要求和未实质性响应招标文件要求的投标均不进入评分程序。最终按得分排序推荐中标候选人。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9</w:t>
            </w:r>
          </w:p>
        </w:tc>
        <w:tc>
          <w:tcPr>
            <w:tcW w:w="9071" w:type="dxa"/>
            <w:vAlign w:val="center"/>
          </w:tcPr>
          <w:p>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投标提醒：</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1、投标保证金手续办理完毕后，请再次核对账号、收款单位是否正确，并确保在投标截止时间前到账。</w:t>
            </w:r>
          </w:p>
          <w:p>
            <w:pPr>
              <w:spacing w:line="400" w:lineRule="exac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2、为方便保证金的收取工作，</w:t>
            </w:r>
            <w:r>
              <w:rPr>
                <w:rFonts w:hint="eastAsia" w:ascii="仿宋" w:hAnsi="仿宋" w:eastAsia="仿宋" w:cs="Arial"/>
                <w:b/>
                <w:color w:val="000000" w:themeColor="text1"/>
                <w:kern w:val="0"/>
                <w:sz w:val="28"/>
                <w:szCs w:val="28"/>
                <w:highlight w:val="none"/>
                <w:u w:val="single"/>
                <w14:textFill>
                  <w14:solidFill>
                    <w14:schemeClr w14:val="tx1"/>
                  </w14:solidFill>
                </w14:textFill>
              </w:rPr>
              <w:t>除投标文件中的缴交凭证外，</w:t>
            </w:r>
            <w:r>
              <w:rPr>
                <w:rFonts w:hint="eastAsia" w:ascii="仿宋" w:hAnsi="仿宋" w:eastAsia="仿宋"/>
                <w:b/>
                <w:color w:val="000000" w:themeColor="text1"/>
                <w:sz w:val="28"/>
                <w:szCs w:val="28"/>
                <w:highlight w:val="none"/>
                <w:u w:val="single"/>
                <w14:textFill>
                  <w14:solidFill>
                    <w14:schemeClr w14:val="tx1"/>
                  </w14:solidFill>
                </w14:textFill>
              </w:rPr>
              <w:t>投标人在递交投标文件时应单独提供保证金缴交证明复印件一份给招标人投标文件接收人员。</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3、为确保在投标截止时间前递交投标文件，请务必考虑交通拥挤及路上不可预见的其他因素。</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10</w:t>
            </w:r>
          </w:p>
        </w:tc>
        <w:tc>
          <w:tcPr>
            <w:tcW w:w="9071" w:type="dxa"/>
            <w:vAlign w:val="center"/>
          </w:tcPr>
          <w:p>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投标资格要求与投标资格证明文件</w:t>
            </w:r>
          </w:p>
          <w:p>
            <w:pPr>
              <w:numPr>
                <w:ilvl w:val="0"/>
                <w:numId w:val="2"/>
              </w:numPr>
              <w:spacing w:line="400" w:lineRule="exact"/>
              <w:ind w:left="-9" w:firstLine="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b/>
                <w:color w:val="000000" w:themeColor="text1"/>
                <w:sz w:val="28"/>
                <w:szCs w:val="28"/>
                <w:highlight w:val="none"/>
                <w14:textFill>
                  <w14:solidFill>
                    <w14:schemeClr w14:val="tx1"/>
                  </w14:solidFill>
                </w14:textFill>
              </w:rPr>
              <w:t>投标人具有独立承担民事责任的能力，并具备参加招投标、政府采购活动的合法条件</w:t>
            </w:r>
            <w:r>
              <w:rPr>
                <w:rFonts w:hint="eastAsia" w:ascii="仿宋" w:hAnsi="仿宋" w:eastAsia="仿宋" w:cs="仿宋"/>
                <w:b/>
                <w:color w:val="000000" w:themeColor="text1"/>
                <w:sz w:val="28"/>
                <w:szCs w:val="28"/>
                <w:highlight w:val="none"/>
                <w:lang w:eastAsia="zh-CN"/>
                <w14:textFill>
                  <w14:solidFill>
                    <w14:schemeClr w14:val="tx1"/>
                  </w14:solidFill>
                </w14:textFill>
              </w:rPr>
              <w:t>，</w:t>
            </w:r>
            <w:r>
              <w:rPr>
                <w:rFonts w:hint="eastAsia" w:ascii="仿宋" w:hAnsi="仿宋" w:eastAsia="仿宋" w:cs="仿宋"/>
                <w:b/>
                <w:color w:val="000000" w:themeColor="text1"/>
                <w:sz w:val="28"/>
                <w:szCs w:val="28"/>
                <w:highlight w:val="none"/>
                <w:lang w:val="en-US" w:eastAsia="zh-CN"/>
                <w14:textFill>
                  <w14:solidFill>
                    <w14:schemeClr w14:val="tx1"/>
                  </w14:solidFill>
                </w14:textFill>
              </w:rPr>
              <w:t>营业范围应有劳务服务、安装服务、技术服务、人工服务、消防技术咨询服务等其中一项；投标人注册资金100万元及以上，注册年限2年及以上（截止至开标当日）。</w:t>
            </w:r>
            <w:r>
              <w:rPr>
                <w:rFonts w:hint="eastAsia" w:ascii="仿宋" w:hAnsi="仿宋" w:eastAsia="仿宋" w:cs="仿宋"/>
                <w:b/>
                <w:color w:val="000000" w:themeColor="text1"/>
                <w:sz w:val="28"/>
                <w:szCs w:val="28"/>
                <w:highlight w:val="none"/>
                <w14:textFill>
                  <w14:solidFill>
                    <w14:schemeClr w14:val="tx1"/>
                  </w14:solidFill>
                </w14:textFill>
              </w:rPr>
              <w:t>投标人必须提供</w:t>
            </w:r>
            <w:r>
              <w:rPr>
                <w:rFonts w:hint="eastAsia" w:ascii="仿宋" w:hAnsi="仿宋" w:eastAsia="仿宋" w:cs="仿宋"/>
                <w:b/>
                <w:color w:val="000000" w:themeColor="text1"/>
                <w:sz w:val="28"/>
                <w:szCs w:val="28"/>
                <w:highlight w:val="none"/>
                <w:lang w:val="en-US" w:eastAsia="zh-CN"/>
                <w14:textFill>
                  <w14:solidFill>
                    <w14:schemeClr w14:val="tx1"/>
                  </w14:solidFill>
                </w14:textFill>
              </w:rPr>
              <w:t>有效的</w:t>
            </w:r>
            <w:r>
              <w:rPr>
                <w:rFonts w:hint="eastAsia" w:ascii="仿宋" w:hAnsi="仿宋" w:eastAsia="仿宋" w:cs="仿宋"/>
                <w:b/>
                <w:color w:val="000000" w:themeColor="text1"/>
                <w:sz w:val="28"/>
                <w:szCs w:val="28"/>
                <w:highlight w:val="none"/>
                <w14:textFill>
                  <w14:solidFill>
                    <w14:schemeClr w14:val="tx1"/>
                  </w14:solidFill>
                </w14:textFill>
              </w:rPr>
              <w:t>企业法人营业执照（副本）复印件。</w:t>
            </w:r>
          </w:p>
          <w:p>
            <w:pPr>
              <w:numPr>
                <w:ilvl w:val="0"/>
                <w:numId w:val="2"/>
              </w:numPr>
              <w:spacing w:line="400" w:lineRule="exact"/>
              <w:ind w:left="-9" w:firstLine="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投标人代表不是法定代表人的，应提供法定代表人授权书原件，以及投标人代表的身份证复印件。</w:t>
            </w:r>
          </w:p>
          <w:p>
            <w:pPr>
              <w:spacing w:line="400" w:lineRule="exact"/>
              <w:rPr>
                <w:rFonts w:hint="eastAsia" w:ascii="仿宋" w:hAnsi="仿宋" w:eastAsia="仿宋" w:cs="仿宋"/>
                <w:b w:val="0"/>
                <w:bCs/>
                <w:color w:val="000000" w:themeColor="text1"/>
                <w:sz w:val="28"/>
                <w:szCs w:val="28"/>
                <w:highlight w:val="none"/>
                <w:lang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3</w:t>
            </w:r>
            <w:r>
              <w:rPr>
                <w:rFonts w:hint="eastAsia" w:ascii="仿宋" w:hAnsi="仿宋" w:eastAsia="仿宋" w:cs="仿宋"/>
                <w:b/>
                <w:bCs w:val="0"/>
                <w:color w:val="000000" w:themeColor="text1"/>
                <w:sz w:val="28"/>
                <w:szCs w:val="28"/>
                <w:highlight w:val="none"/>
                <w14:textFill>
                  <w14:solidFill>
                    <w14:schemeClr w14:val="tx1"/>
                  </w14:solidFill>
                </w14:textFill>
              </w:rPr>
              <w:t>、★</w:t>
            </w:r>
            <w:r>
              <w:rPr>
                <w:rFonts w:hint="eastAsia" w:ascii="仿宋" w:hAnsi="仿宋" w:eastAsia="仿宋" w:cs="仿宋"/>
                <w:b/>
                <w:bCs w:val="0"/>
                <w:snapToGrid w:val="0"/>
                <w:color w:val="000000" w:themeColor="text1"/>
                <w:sz w:val="28"/>
                <w:szCs w:val="28"/>
                <w:highlight w:val="none"/>
                <w14:textFill>
                  <w14:solidFill>
                    <w14:schemeClr w14:val="tx1"/>
                  </w14:solidFill>
                </w14:textFill>
              </w:rPr>
              <w:t>投标</w:t>
            </w:r>
            <w:r>
              <w:rPr>
                <w:rFonts w:hint="eastAsia" w:ascii="仿宋" w:hAnsi="仿宋" w:eastAsia="仿宋" w:cs="仿宋"/>
                <w:b/>
                <w:bCs w:val="0"/>
                <w:snapToGrid w:val="0"/>
                <w:color w:val="000000" w:themeColor="text1"/>
                <w:sz w:val="28"/>
                <w:szCs w:val="28"/>
                <w:highlight w:val="none"/>
                <w:lang w:val="en-US" w:eastAsia="zh-CN"/>
                <w14:textFill>
                  <w14:solidFill>
                    <w14:schemeClr w14:val="tx1"/>
                  </w14:solidFill>
                </w14:textFill>
              </w:rPr>
              <w:t>人 作出书面声明：</w:t>
            </w:r>
            <w:r>
              <w:rPr>
                <w:rFonts w:hint="eastAsia" w:ascii="仿宋" w:hAnsi="仿宋" w:eastAsia="仿宋" w:cs="仿宋"/>
                <w:b/>
                <w:bCs w:val="0"/>
                <w:snapToGrid w:val="0"/>
                <w:color w:val="000000" w:themeColor="text1"/>
                <w:sz w:val="28"/>
                <w:szCs w:val="28"/>
                <w:highlight w:val="none"/>
                <w14:textFill>
                  <w14:solidFill>
                    <w14:schemeClr w14:val="tx1"/>
                  </w14:solidFill>
                </w14:textFill>
              </w:rPr>
              <w:t>未被列入“信用中国”网(</w:t>
            </w:r>
            <w:r>
              <w:rPr>
                <w:rFonts w:hint="eastAsia" w:ascii="仿宋" w:hAnsi="仿宋" w:eastAsia="仿宋" w:cs="仿宋"/>
                <w:b/>
                <w:bCs w:val="0"/>
                <w:color w:val="000000" w:themeColor="text1"/>
                <w:sz w:val="28"/>
                <w:szCs w:val="28"/>
                <w:highlight w:val="none"/>
                <w14:textFill>
                  <w14:solidFill>
                    <w14:schemeClr w14:val="tx1"/>
                  </w14:solidFill>
                </w14:textFill>
              </w:rPr>
              <w:fldChar w:fldCharType="begin"/>
            </w:r>
            <w:r>
              <w:rPr>
                <w:rFonts w:hint="eastAsia" w:ascii="仿宋" w:hAnsi="仿宋" w:eastAsia="仿宋" w:cs="仿宋"/>
                <w:b/>
                <w:bCs w:val="0"/>
                <w:color w:val="000000" w:themeColor="text1"/>
                <w:sz w:val="28"/>
                <w:szCs w:val="28"/>
                <w:highlight w:val="none"/>
                <w14:textFill>
                  <w14:solidFill>
                    <w14:schemeClr w14:val="tx1"/>
                  </w14:solidFill>
                </w14:textFill>
              </w:rPr>
              <w:instrText xml:space="preserve"> HYPERLINK "http://www.creditchina.gov.cn" </w:instrText>
            </w:r>
            <w:r>
              <w:rPr>
                <w:rFonts w:hint="eastAsia" w:ascii="仿宋" w:hAnsi="仿宋" w:eastAsia="仿宋" w:cs="仿宋"/>
                <w:b/>
                <w:bCs w:val="0"/>
                <w:color w:val="000000" w:themeColor="text1"/>
                <w:sz w:val="28"/>
                <w:szCs w:val="28"/>
                <w:highlight w:val="none"/>
                <w14:textFill>
                  <w14:solidFill>
                    <w14:schemeClr w14:val="tx1"/>
                  </w14:solidFill>
                </w14:textFill>
              </w:rPr>
              <w:fldChar w:fldCharType="separate"/>
            </w:r>
            <w:r>
              <w:rPr>
                <w:rFonts w:hint="eastAsia" w:ascii="仿宋" w:hAnsi="仿宋" w:eastAsia="仿宋" w:cs="仿宋"/>
                <w:b/>
                <w:bCs w:val="0"/>
                <w:snapToGrid w:val="0"/>
                <w:color w:val="000000" w:themeColor="text1"/>
                <w:sz w:val="28"/>
                <w:szCs w:val="28"/>
                <w:highlight w:val="none"/>
                <w14:textFill>
                  <w14:solidFill>
                    <w14:schemeClr w14:val="tx1"/>
                  </w14:solidFill>
                </w14:textFill>
              </w:rPr>
              <w:t>www.creditchina.gov.cn</w:t>
            </w:r>
            <w:r>
              <w:rPr>
                <w:rFonts w:hint="eastAsia" w:ascii="仿宋" w:hAnsi="仿宋" w:eastAsia="仿宋" w:cs="仿宋"/>
                <w:b/>
                <w:bCs w:val="0"/>
                <w:snapToGrid w:val="0"/>
                <w:color w:val="000000" w:themeColor="text1"/>
                <w:sz w:val="28"/>
                <w:szCs w:val="28"/>
                <w:highlight w:val="none"/>
                <w14:textFill>
                  <w14:solidFill>
                    <w14:schemeClr w14:val="tx1"/>
                  </w14:solidFill>
                </w14:textFill>
              </w:rPr>
              <w:fldChar w:fldCharType="end"/>
            </w:r>
            <w:r>
              <w:rPr>
                <w:rFonts w:hint="eastAsia" w:ascii="仿宋" w:hAnsi="仿宋" w:eastAsia="仿宋" w:cs="仿宋"/>
                <w:b/>
                <w:bCs w:val="0"/>
                <w:snapToGrid w:val="0"/>
                <w:color w:val="000000" w:themeColor="text1"/>
                <w:sz w:val="28"/>
                <w:szCs w:val="28"/>
                <w:highlight w:val="none"/>
                <w14:textFill>
                  <w14:solidFill>
                    <w14:schemeClr w14:val="tx1"/>
                  </w14:solidFill>
                </w14:textFill>
              </w:rPr>
              <w:t>)、中国政府采购网（http://www.ccgp.gov.cn/）失信被执行人、重大税收违法案件当事人名单、政府采购严重违法失信行为记录名单</w:t>
            </w:r>
            <w:r>
              <w:rPr>
                <w:rFonts w:hint="eastAsia" w:ascii="仿宋" w:hAnsi="仿宋" w:eastAsia="仿宋" w:cs="仿宋"/>
                <w:b/>
                <w:bCs w:val="0"/>
                <w:snapToGrid w:val="0"/>
                <w:color w:val="000000" w:themeColor="text1"/>
                <w:sz w:val="28"/>
                <w:szCs w:val="28"/>
                <w:highlight w:val="none"/>
                <w:lang w:eastAsia="zh-CN"/>
                <w14:textFill>
                  <w14:solidFill>
                    <w14:schemeClr w14:val="tx1"/>
                  </w14:solidFill>
                </w14:textFill>
              </w:rPr>
              <w:t>，</w:t>
            </w:r>
            <w:r>
              <w:rPr>
                <w:rFonts w:hint="eastAsia" w:ascii="仿宋" w:hAnsi="仿宋" w:eastAsia="仿宋" w:cs="仿宋"/>
                <w:b/>
                <w:bCs w:val="0"/>
                <w:snapToGrid w:val="0"/>
                <w:color w:val="000000" w:themeColor="text1"/>
                <w:sz w:val="28"/>
                <w:szCs w:val="28"/>
                <w:highlight w:val="none"/>
                <w14:textFill>
                  <w14:solidFill>
                    <w14:schemeClr w14:val="tx1"/>
                  </w14:solidFill>
                </w14:textFill>
              </w:rPr>
              <w:t>且</w:t>
            </w:r>
            <w:r>
              <w:rPr>
                <w:rFonts w:hint="eastAsia" w:ascii="仿宋" w:hAnsi="仿宋" w:eastAsia="仿宋" w:cs="仿宋"/>
                <w:b/>
                <w:bCs w:val="0"/>
                <w:snapToGrid w:val="0"/>
                <w:color w:val="000000" w:themeColor="text1"/>
                <w:sz w:val="28"/>
                <w:szCs w:val="28"/>
                <w:highlight w:val="none"/>
                <w:lang w:val="en-US" w:eastAsia="zh-CN"/>
                <w14:textFill>
                  <w14:solidFill>
                    <w14:schemeClr w14:val="tx1"/>
                  </w14:solidFill>
                </w14:textFill>
              </w:rPr>
              <w:t>未</w:t>
            </w:r>
            <w:r>
              <w:rPr>
                <w:rFonts w:hint="eastAsia" w:ascii="仿宋" w:hAnsi="仿宋" w:eastAsia="仿宋" w:cs="仿宋"/>
                <w:b/>
                <w:bCs w:val="0"/>
                <w:snapToGrid w:val="0"/>
                <w:color w:val="000000" w:themeColor="text1"/>
                <w:sz w:val="28"/>
                <w:szCs w:val="28"/>
                <w:highlight w:val="none"/>
                <w14:textFill>
                  <w14:solidFill>
                    <w14:schemeClr w14:val="tx1"/>
                  </w14:solidFill>
                </w14:textFill>
              </w:rPr>
              <w:t>尚处于禁止参加采购活动期内</w:t>
            </w:r>
            <w:r>
              <w:rPr>
                <w:rFonts w:hint="eastAsia" w:ascii="仿宋" w:hAnsi="仿宋" w:eastAsia="仿宋" w:cs="仿宋"/>
                <w:b/>
                <w:bCs w:val="0"/>
                <w:snapToGrid w:val="0"/>
                <w:color w:val="000000" w:themeColor="text1"/>
                <w:sz w:val="28"/>
                <w:szCs w:val="28"/>
                <w:highlight w:val="none"/>
                <w:lang w:eastAsia="zh-CN"/>
                <w14:textFill>
                  <w14:solidFill>
                    <w14:schemeClr w14:val="tx1"/>
                  </w14:solidFill>
                </w14:textFill>
              </w:rPr>
              <w:t>。</w:t>
            </w:r>
          </w:p>
          <w:p>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以上资格证明文件均应加盖投标人公章，原件备查。</w:t>
            </w:r>
          </w:p>
        </w:tc>
      </w:tr>
    </w:tbl>
    <w:p>
      <w:pPr>
        <w:pStyle w:val="3"/>
        <w:keepNext w:val="0"/>
        <w:keepLines w:val="0"/>
        <w:spacing w:before="0" w:after="0" w:line="360" w:lineRule="auto"/>
        <w:jc w:val="center"/>
        <w:rPr>
          <w:rFonts w:ascii="仿宋" w:hAnsi="仿宋" w:eastAsia="仿宋"/>
          <w:color w:val="000000" w:themeColor="text1"/>
          <w:highlight w:val="none"/>
          <w14:textFill>
            <w14:solidFill>
              <w14:schemeClr w14:val="tx1"/>
            </w14:solidFill>
          </w14:textFill>
        </w:rPr>
      </w:pPr>
    </w:p>
    <w:p>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p>
    <w:p>
      <w:pPr>
        <w:rPr>
          <w:rFonts w:ascii="仿宋" w:hAnsi="仿宋" w:eastAsia="仿宋"/>
          <w:color w:val="000000" w:themeColor="text1"/>
          <w:sz w:val="32"/>
          <w:highlight w:val="none"/>
          <w14:textFill>
            <w14:solidFill>
              <w14:schemeClr w14:val="tx1"/>
            </w14:solidFill>
          </w14:textFill>
        </w:rPr>
      </w:pPr>
    </w:p>
    <w:p>
      <w:pPr>
        <w:rPr>
          <w:rFonts w:ascii="仿宋" w:hAnsi="仿宋" w:eastAsia="仿宋"/>
          <w:color w:val="000000" w:themeColor="text1"/>
          <w:sz w:val="32"/>
          <w:highlight w:val="none"/>
          <w14:textFill>
            <w14:solidFill>
              <w14:schemeClr w14:val="tx1"/>
            </w14:solidFill>
          </w14:textFill>
        </w:rPr>
      </w:pPr>
    </w:p>
    <w:p>
      <w:pPr>
        <w:rPr>
          <w:rFonts w:ascii="仿宋" w:hAnsi="仿宋" w:eastAsia="仿宋"/>
          <w:color w:val="000000" w:themeColor="text1"/>
          <w:sz w:val="32"/>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15" w:name="_Toc9985"/>
      <w:bookmarkStart w:id="16" w:name="_Toc1611"/>
      <w:r>
        <w:rPr>
          <w:rFonts w:hint="eastAsia" w:ascii="仿宋" w:hAnsi="仿宋" w:eastAsia="仿宋"/>
          <w:color w:val="000000" w:themeColor="text1"/>
          <w:sz w:val="32"/>
          <w:highlight w:val="none"/>
          <w14:textFill>
            <w14:solidFill>
              <w14:schemeClr w14:val="tx1"/>
            </w14:solidFill>
          </w14:textFill>
        </w:rPr>
        <w:t>第一节  说  明</w:t>
      </w:r>
      <w:bookmarkEnd w:id="15"/>
      <w:bookmarkEnd w:id="16"/>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7" w:name="_Toc191892300"/>
      <w:bookmarkStart w:id="18" w:name="_Toc192925648"/>
      <w:bookmarkStart w:id="19" w:name="_Toc7808"/>
      <w:bookmarkStart w:id="20" w:name="_Toc24427"/>
      <w:r>
        <w:rPr>
          <w:rFonts w:ascii="仿宋" w:hAnsi="仿宋" w:eastAsia="仿宋"/>
          <w:color w:val="000000" w:themeColor="text1"/>
          <w:sz w:val="32"/>
          <w:highlight w:val="none"/>
          <w14:textFill>
            <w14:solidFill>
              <w14:schemeClr w14:val="tx1"/>
            </w14:solidFill>
          </w14:textFill>
        </w:rPr>
        <w:t xml:space="preserve">1. </w:t>
      </w:r>
      <w:r>
        <w:rPr>
          <w:rFonts w:hint="eastAsia" w:ascii="仿宋" w:hAnsi="仿宋" w:eastAsia="仿宋"/>
          <w:color w:val="000000" w:themeColor="text1"/>
          <w:sz w:val="32"/>
          <w:highlight w:val="none"/>
          <w14:textFill>
            <w14:solidFill>
              <w14:schemeClr w14:val="tx1"/>
            </w14:solidFill>
          </w14:textFill>
        </w:rPr>
        <w:t>适用范围</w:t>
      </w:r>
      <w:bookmarkEnd w:id="17"/>
      <w:bookmarkEnd w:id="18"/>
      <w:bookmarkEnd w:id="19"/>
      <w:bookmarkEnd w:id="20"/>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1.1</w:t>
      </w:r>
      <w:r>
        <w:rPr>
          <w:rFonts w:hint="eastAsia" w:ascii="仿宋" w:hAnsi="仿宋" w:eastAsia="仿宋"/>
          <w:color w:val="000000" w:themeColor="text1"/>
          <w:sz w:val="32"/>
          <w:szCs w:val="32"/>
          <w:highlight w:val="none"/>
          <w14:textFill>
            <w14:solidFill>
              <w14:schemeClr w14:val="tx1"/>
            </w14:solidFill>
          </w14:textFill>
        </w:rPr>
        <w:t>本招标文件仅适用于</w:t>
      </w:r>
      <w:r>
        <w:rPr>
          <w:rFonts w:hint="eastAsia"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0"/>
          <w:szCs w:val="30"/>
          <w:highlight w:val="none"/>
          <w:u w:val="single"/>
          <w:lang w:val="zh-CN"/>
          <w14:textFill>
            <w14:solidFill>
              <w14:schemeClr w14:val="tx1"/>
            </w14:solidFill>
          </w14:textFill>
        </w:rPr>
        <w:t>202</w:t>
      </w:r>
      <w:r>
        <w:rPr>
          <w:rFonts w:hint="eastAsia" w:ascii="仿宋" w:hAnsi="仿宋" w:eastAsia="仿宋"/>
          <w:color w:val="000000" w:themeColor="text1"/>
          <w:sz w:val="30"/>
          <w:szCs w:val="30"/>
          <w:highlight w:val="none"/>
          <w:u w:val="single"/>
          <w:lang w:val="en-US" w:eastAsia="zh-CN"/>
          <w14:textFill>
            <w14:solidFill>
              <w14:schemeClr w14:val="tx1"/>
            </w14:solidFill>
          </w14:textFill>
        </w:rPr>
        <w:t>4</w:t>
      </w:r>
      <w:r>
        <w:rPr>
          <w:rFonts w:hint="eastAsia" w:ascii="仿宋" w:hAnsi="仿宋" w:eastAsia="仿宋"/>
          <w:color w:val="000000" w:themeColor="text1"/>
          <w:sz w:val="30"/>
          <w:szCs w:val="30"/>
          <w:highlight w:val="none"/>
          <w:u w:val="single"/>
          <w:lang w:val="zh-CN"/>
          <w14:textFill>
            <w14:solidFill>
              <w14:schemeClr w14:val="tx1"/>
            </w14:solidFill>
          </w14:textFill>
        </w:rPr>
        <w:t>全国制药机械博览会</w:t>
      </w:r>
      <w:r>
        <w:rPr>
          <w:rFonts w:hint="eastAsia" w:ascii="仿宋" w:hAnsi="仿宋" w:eastAsia="仿宋"/>
          <w:color w:val="000000" w:themeColor="text1"/>
          <w:sz w:val="30"/>
          <w:szCs w:val="30"/>
          <w:highlight w:val="none"/>
          <w:u w:val="single"/>
          <w14:textFill>
            <w14:solidFill>
              <w14:schemeClr w14:val="tx1"/>
            </w14:solidFill>
          </w14:textFill>
        </w:rPr>
        <w:t>现场水、电、气接驳服务</w:t>
      </w:r>
      <w:r>
        <w:rPr>
          <w:rFonts w:hint="eastAsia" w:ascii="仿宋" w:hAnsi="仿宋" w:eastAsia="仿宋"/>
          <w:color w:val="000000" w:themeColor="text1"/>
          <w:sz w:val="32"/>
          <w:szCs w:val="32"/>
          <w:highlight w:val="none"/>
          <w:u w:val="single"/>
          <w14:textFill>
            <w14:solidFill>
              <w14:schemeClr w14:val="tx1"/>
            </w14:solidFill>
          </w14:textFill>
        </w:rPr>
        <w:t>项目</w:t>
      </w:r>
      <w:r>
        <w:rPr>
          <w:rFonts w:hint="eastAsia" w:ascii="仿宋" w:hAnsi="仿宋" w:eastAsia="仿宋"/>
          <w:color w:val="000000" w:themeColor="text1"/>
          <w:sz w:val="32"/>
          <w:szCs w:val="32"/>
          <w:highlight w:val="none"/>
          <w14:textFill>
            <w14:solidFill>
              <w14:schemeClr w14:val="tx1"/>
            </w14:solidFill>
          </w14:textFill>
        </w:rPr>
        <w:t>。</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21" w:name="_Toc23558"/>
      <w:bookmarkStart w:id="22" w:name="_Toc192925649"/>
      <w:bookmarkStart w:id="23" w:name="_Toc191892301"/>
      <w:bookmarkStart w:id="24" w:name="_Toc8300"/>
      <w:r>
        <w:rPr>
          <w:rFonts w:ascii="仿宋" w:hAnsi="仿宋" w:eastAsia="仿宋"/>
          <w:color w:val="000000" w:themeColor="text1"/>
          <w:sz w:val="32"/>
          <w:highlight w:val="none"/>
          <w14:textFill>
            <w14:solidFill>
              <w14:schemeClr w14:val="tx1"/>
            </w14:solidFill>
          </w14:textFill>
        </w:rPr>
        <w:t xml:space="preserve">2. </w:t>
      </w:r>
      <w:r>
        <w:rPr>
          <w:rFonts w:hint="eastAsia" w:ascii="仿宋" w:hAnsi="仿宋" w:eastAsia="仿宋"/>
          <w:color w:val="000000" w:themeColor="text1"/>
          <w:sz w:val="32"/>
          <w:highlight w:val="none"/>
          <w14:textFill>
            <w14:solidFill>
              <w14:schemeClr w14:val="tx1"/>
            </w14:solidFill>
          </w14:textFill>
        </w:rPr>
        <w:t>定义</w:t>
      </w:r>
      <w:bookmarkEnd w:id="21"/>
      <w:bookmarkEnd w:id="22"/>
      <w:bookmarkEnd w:id="23"/>
      <w:bookmarkEnd w:id="24"/>
    </w:p>
    <w:p>
      <w:pPr>
        <w:spacing w:line="500" w:lineRule="exact"/>
        <w:ind w:firstLine="640" w:firstLineChars="200"/>
        <w:rPr>
          <w:rFonts w:ascii="仿宋" w:hAnsi="仿宋" w:eastAsia="仿宋"/>
          <w:b w:val="0"/>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2.1</w:t>
      </w:r>
      <w:r>
        <w:rPr>
          <w:rFonts w:hint="eastAsia" w:ascii="仿宋" w:hAnsi="仿宋" w:eastAsia="仿宋"/>
          <w:color w:val="000000" w:themeColor="text1"/>
          <w:sz w:val="32"/>
          <w:szCs w:val="32"/>
          <w:highlight w:val="none"/>
          <w14:textFill>
            <w14:solidFill>
              <w14:schemeClr w14:val="tx1"/>
            </w14:solidFill>
          </w14:textFill>
        </w:rPr>
        <w:t xml:space="preserve"> “招标人”系指</w:t>
      </w:r>
      <w:r>
        <w:rPr>
          <w:rFonts w:hint="eastAsia" w:ascii="仿宋" w:hAnsi="仿宋" w:eastAsia="仿宋"/>
          <w:b w:val="0"/>
          <w:bCs w:val="0"/>
          <w:color w:val="000000" w:themeColor="text1"/>
          <w:sz w:val="32"/>
          <w:szCs w:val="32"/>
          <w:highlight w:val="none"/>
          <w14:textFill>
            <w14:solidFill>
              <w14:schemeClr w14:val="tx1"/>
            </w14:solidFill>
          </w14:textFill>
        </w:rPr>
        <w:t>展服智慧（厦门）物业服务有限公司</w:t>
      </w:r>
      <w:r>
        <w:rPr>
          <w:rFonts w:hint="eastAsia" w:ascii="仿宋" w:hAnsi="仿宋" w:eastAsia="仿宋"/>
          <w:b w:val="0"/>
          <w:color w:val="000000" w:themeColor="text1"/>
          <w:sz w:val="32"/>
          <w:szCs w:val="32"/>
          <w:highlight w:val="none"/>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2“投标人”系指获取了本招标文件，且已经提交或者准备提交本次投标文件的制造商或供货商。</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25" w:name="_Toc191892302"/>
      <w:bookmarkStart w:id="26" w:name="_Toc192925650"/>
      <w:bookmarkStart w:id="27" w:name="_Toc11744"/>
      <w:bookmarkStart w:id="28" w:name="_Toc28656"/>
      <w:r>
        <w:rPr>
          <w:rFonts w:ascii="仿宋" w:hAnsi="仿宋" w:eastAsia="仿宋"/>
          <w:color w:val="000000" w:themeColor="text1"/>
          <w:sz w:val="32"/>
          <w:highlight w:val="none"/>
          <w14:textFill>
            <w14:solidFill>
              <w14:schemeClr w14:val="tx1"/>
            </w14:solidFill>
          </w14:textFill>
        </w:rPr>
        <w:t xml:space="preserve">3. </w:t>
      </w:r>
      <w:r>
        <w:rPr>
          <w:rFonts w:hint="eastAsia" w:ascii="仿宋" w:hAnsi="仿宋" w:eastAsia="仿宋"/>
          <w:color w:val="000000" w:themeColor="text1"/>
          <w:sz w:val="32"/>
          <w:highlight w:val="none"/>
          <w14:textFill>
            <w14:solidFill>
              <w14:schemeClr w14:val="tx1"/>
            </w14:solidFill>
          </w14:textFill>
        </w:rPr>
        <w:t>合格的投标人</w:t>
      </w:r>
      <w:bookmarkEnd w:id="25"/>
      <w:bookmarkEnd w:id="26"/>
      <w:bookmarkEnd w:id="27"/>
      <w:bookmarkEnd w:id="28"/>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3.1</w:t>
      </w:r>
      <w:r>
        <w:rPr>
          <w:rFonts w:hint="eastAsia" w:ascii="仿宋" w:hAnsi="仿宋" w:eastAsia="仿宋"/>
          <w:color w:val="000000" w:themeColor="text1"/>
          <w:sz w:val="32"/>
          <w:szCs w:val="32"/>
          <w:highlight w:val="none"/>
          <w14:textFill>
            <w14:solidFill>
              <w14:schemeClr w14:val="tx1"/>
            </w14:solidFill>
          </w14:textFill>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3.2</w:t>
      </w:r>
      <w:r>
        <w:rPr>
          <w:rFonts w:hint="eastAsia" w:ascii="仿宋" w:hAnsi="仿宋" w:eastAsia="仿宋"/>
          <w:color w:val="000000" w:themeColor="text1"/>
          <w:sz w:val="32"/>
          <w:szCs w:val="32"/>
          <w:highlight w:val="none"/>
          <w14:textFill>
            <w14:solidFill>
              <w14:schemeClr w14:val="tx1"/>
            </w14:solidFill>
          </w14:textFill>
        </w:rPr>
        <w:t xml:space="preserve"> 投标人应遵守中国的有关法律、法规和规章的规定</w:t>
      </w:r>
      <w:r>
        <w:rPr>
          <w:rFonts w:hint="eastAsia" w:ascii="仿宋" w:hAnsi="仿宋" w:eastAsia="仿宋"/>
          <w:bCs/>
          <w:color w:val="000000" w:themeColor="text1"/>
          <w:sz w:val="32"/>
          <w:szCs w:val="32"/>
          <w:highlight w:val="none"/>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法定代表人为同一人的两个及两个以上法人；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母公司、直接或间接持股50％及以上的被投资公司;</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 均为同一家母公司直接或间接持股50％及以上的被投资公司。</w:t>
      </w:r>
    </w:p>
    <w:p>
      <w:pPr>
        <w:spacing w:line="500" w:lineRule="exact"/>
        <w:ind w:firstLine="640" w:firstLineChars="200"/>
        <w:rPr>
          <w:color w:val="000000" w:themeColor="text1"/>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3.4 本项目不接受联合体形式投标。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3.5 投标代理人在同一个合同包中只能接受一个投标人的委托参加投标。</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29" w:name="_Toc192925651"/>
      <w:bookmarkStart w:id="30" w:name="_Toc9871"/>
      <w:bookmarkStart w:id="31" w:name="_Toc29173"/>
      <w:bookmarkStart w:id="32" w:name="_Toc191892303"/>
      <w:r>
        <w:rPr>
          <w:rFonts w:hint="eastAsia" w:ascii="仿宋" w:hAnsi="仿宋" w:eastAsia="仿宋"/>
          <w:color w:val="000000" w:themeColor="text1"/>
          <w:sz w:val="32"/>
          <w:highlight w:val="none"/>
          <w14:textFill>
            <w14:solidFill>
              <w14:schemeClr w14:val="tx1"/>
            </w14:solidFill>
          </w14:textFill>
        </w:rPr>
        <w:t>4</w:t>
      </w:r>
      <w:r>
        <w:rPr>
          <w:rFonts w:ascii="仿宋" w:hAnsi="仿宋" w:eastAsia="仿宋"/>
          <w:color w:val="000000" w:themeColor="text1"/>
          <w:sz w:val="32"/>
          <w:highlight w:val="none"/>
          <w14:textFill>
            <w14:solidFill>
              <w14:schemeClr w14:val="tx1"/>
            </w14:solidFill>
          </w14:textFill>
        </w:rPr>
        <w:t>.</w:t>
      </w:r>
      <w:r>
        <w:rPr>
          <w:rFonts w:hint="eastAsia" w:ascii="仿宋" w:hAnsi="仿宋" w:eastAsia="仿宋"/>
          <w:color w:val="000000" w:themeColor="text1"/>
          <w:sz w:val="32"/>
          <w:highlight w:val="none"/>
          <w14:textFill>
            <w14:solidFill>
              <w14:schemeClr w14:val="tx1"/>
            </w14:solidFill>
          </w14:textFill>
        </w:rPr>
        <w:t xml:space="preserve"> 投标费用</w:t>
      </w:r>
      <w:bookmarkEnd w:id="29"/>
      <w:bookmarkEnd w:id="30"/>
      <w:bookmarkEnd w:id="31"/>
      <w:bookmarkEnd w:id="32"/>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投标人自行承担其参加投标所涉及的一切费用。</w:t>
      </w:r>
    </w:p>
    <w:p>
      <w:pPr>
        <w:spacing w:line="500" w:lineRule="exact"/>
        <w:rPr>
          <w:rFonts w:ascii="仿宋" w:hAnsi="仿宋" w:eastAsia="仿宋"/>
          <w:color w:val="000000" w:themeColor="text1"/>
          <w:sz w:val="32"/>
          <w:szCs w:val="32"/>
          <w:highlight w:val="none"/>
          <w14:textFill>
            <w14:solidFill>
              <w14:schemeClr w14:val="tx1"/>
            </w14:solidFill>
          </w14:textFill>
        </w:rPr>
      </w:pPr>
      <w:bookmarkStart w:id="33" w:name="_Toc191892304"/>
      <w:bookmarkStart w:id="34" w:name="_Toc192925652"/>
    </w:p>
    <w:p>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35" w:name="_Toc25039"/>
      <w:bookmarkStart w:id="36" w:name="_Toc2383"/>
      <w:r>
        <w:rPr>
          <w:rFonts w:hint="eastAsia" w:ascii="仿宋" w:hAnsi="仿宋" w:eastAsia="仿宋"/>
          <w:color w:val="000000" w:themeColor="text1"/>
          <w:sz w:val="32"/>
          <w:highlight w:val="none"/>
          <w14:textFill>
            <w14:solidFill>
              <w14:schemeClr w14:val="tx1"/>
            </w14:solidFill>
          </w14:textFill>
        </w:rPr>
        <w:t>第二节  招标文件说明</w:t>
      </w:r>
      <w:bookmarkEnd w:id="33"/>
      <w:bookmarkEnd w:id="34"/>
      <w:bookmarkEnd w:id="35"/>
      <w:bookmarkEnd w:id="36"/>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37" w:name="_Toc10964"/>
      <w:bookmarkStart w:id="38" w:name="_Toc192925653"/>
      <w:bookmarkStart w:id="39" w:name="_Toc191892305"/>
      <w:bookmarkStart w:id="40" w:name="_Toc25332"/>
      <w:r>
        <w:rPr>
          <w:rFonts w:hint="eastAsia" w:ascii="仿宋" w:hAnsi="仿宋" w:eastAsia="仿宋"/>
          <w:color w:val="000000" w:themeColor="text1"/>
          <w:sz w:val="32"/>
          <w:highlight w:val="none"/>
          <w14:textFill>
            <w14:solidFill>
              <w14:schemeClr w14:val="tx1"/>
            </w14:solidFill>
          </w14:textFill>
        </w:rPr>
        <w:t>5</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招标文件的组成</w:t>
      </w:r>
      <w:bookmarkEnd w:id="37"/>
      <w:bookmarkEnd w:id="38"/>
      <w:bookmarkEnd w:id="39"/>
      <w:bookmarkEnd w:id="40"/>
    </w:p>
    <w:p>
      <w:pPr>
        <w:ind w:firstLine="640" w:firstLineChars="200"/>
        <w:rPr>
          <w:rFonts w:ascii="仿宋" w:hAnsi="仿宋" w:eastAsia="仿宋"/>
          <w:b/>
          <w:color w:val="000000" w:themeColor="text1"/>
          <w:sz w:val="32"/>
          <w:highlight w:val="none"/>
          <w14:textFill>
            <w14:solidFill>
              <w14:schemeClr w14:val="tx1"/>
            </w14:solidFill>
          </w14:textFill>
        </w:rPr>
      </w:pPr>
      <w:bookmarkStart w:id="41" w:name="_Toc523325329"/>
      <w:bookmarkStart w:id="42" w:name="_Toc523325149"/>
      <w:r>
        <w:rPr>
          <w:rFonts w:hint="eastAsia" w:ascii="仿宋" w:hAnsi="仿宋" w:eastAsia="仿宋"/>
          <w:color w:val="000000" w:themeColor="text1"/>
          <w:sz w:val="32"/>
          <w:highlight w:val="none"/>
          <w14:textFill>
            <w14:solidFill>
              <w14:schemeClr w14:val="tx1"/>
            </w14:solidFill>
          </w14:textFill>
        </w:rPr>
        <w:t>5.1招标文件用以阐明所需货物及服务招标程序和合同主要条款。招标文件由下述主要部分组成：</w:t>
      </w:r>
      <w:bookmarkEnd w:id="41"/>
      <w:bookmarkEnd w:id="42"/>
    </w:p>
    <w:p>
      <w:pPr>
        <w:ind w:firstLine="640" w:firstLineChars="200"/>
        <w:rPr>
          <w:rFonts w:ascii="仿宋" w:hAnsi="仿宋" w:eastAsia="仿宋"/>
          <w:b/>
          <w:color w:val="000000" w:themeColor="text1"/>
          <w:sz w:val="32"/>
          <w:highlight w:val="none"/>
          <w14:textFill>
            <w14:solidFill>
              <w14:schemeClr w14:val="tx1"/>
            </w14:solidFill>
          </w14:textFill>
        </w:rPr>
      </w:pPr>
      <w:bookmarkStart w:id="43" w:name="_Toc523325330"/>
      <w:bookmarkStart w:id="44" w:name="_Toc523325150"/>
      <w:r>
        <w:rPr>
          <w:rFonts w:hint="eastAsia" w:ascii="仿宋" w:hAnsi="仿宋" w:eastAsia="仿宋"/>
          <w:color w:val="000000" w:themeColor="text1"/>
          <w:sz w:val="32"/>
          <w:highlight w:val="none"/>
          <w14:textFill>
            <w14:solidFill>
              <w14:schemeClr w14:val="tx1"/>
            </w14:solidFill>
          </w14:textFill>
        </w:rPr>
        <w:t xml:space="preserve">⑴ </w:t>
      </w:r>
      <w:bookmarkEnd w:id="43"/>
      <w:bookmarkEnd w:id="44"/>
      <w:r>
        <w:rPr>
          <w:rFonts w:hint="eastAsia" w:ascii="仿宋" w:hAnsi="仿宋" w:eastAsia="仿宋"/>
          <w:color w:val="000000" w:themeColor="text1"/>
          <w:sz w:val="32"/>
          <w:highlight w:val="none"/>
          <w14:textFill>
            <w14:solidFill>
              <w14:schemeClr w14:val="tx1"/>
            </w14:solidFill>
          </w14:textFill>
        </w:rPr>
        <w:t>招标公告</w:t>
      </w:r>
    </w:p>
    <w:p>
      <w:pPr>
        <w:ind w:firstLine="640" w:firstLineChars="200"/>
        <w:rPr>
          <w:rFonts w:ascii="仿宋" w:hAnsi="仿宋" w:eastAsia="仿宋"/>
          <w:b/>
          <w:color w:val="000000" w:themeColor="text1"/>
          <w:sz w:val="32"/>
          <w:highlight w:val="none"/>
          <w14:textFill>
            <w14:solidFill>
              <w14:schemeClr w14:val="tx1"/>
            </w14:solidFill>
          </w14:textFill>
        </w:rPr>
      </w:pPr>
      <w:bookmarkStart w:id="45" w:name="_Toc523325331"/>
      <w:bookmarkStart w:id="46" w:name="_Toc523325151"/>
      <w:r>
        <w:rPr>
          <w:rFonts w:hint="eastAsia" w:ascii="仿宋" w:hAnsi="仿宋" w:eastAsia="仿宋"/>
          <w:color w:val="000000" w:themeColor="text1"/>
          <w:sz w:val="32"/>
          <w:highlight w:val="none"/>
          <w14:textFill>
            <w14:solidFill>
              <w14:schemeClr w14:val="tx1"/>
            </w14:solidFill>
          </w14:textFill>
        </w:rPr>
        <w:t>⑵ 投标人须知</w:t>
      </w:r>
      <w:bookmarkEnd w:id="45"/>
      <w:bookmarkEnd w:id="46"/>
    </w:p>
    <w:p>
      <w:pPr>
        <w:ind w:firstLine="640" w:firstLineChars="200"/>
        <w:rPr>
          <w:rFonts w:ascii="仿宋" w:hAnsi="仿宋" w:eastAsia="仿宋"/>
          <w:b/>
          <w:color w:val="000000" w:themeColor="text1"/>
          <w:sz w:val="32"/>
          <w:highlight w:val="none"/>
          <w14:textFill>
            <w14:solidFill>
              <w14:schemeClr w14:val="tx1"/>
            </w14:solidFill>
          </w14:textFill>
        </w:rPr>
      </w:pPr>
      <w:bookmarkStart w:id="47" w:name="_Toc523325332"/>
      <w:bookmarkStart w:id="48" w:name="_Toc523325152"/>
      <w:r>
        <w:rPr>
          <w:rFonts w:hint="eastAsia" w:ascii="仿宋" w:hAnsi="仿宋" w:eastAsia="仿宋"/>
          <w:color w:val="000000" w:themeColor="text1"/>
          <w:sz w:val="32"/>
          <w:highlight w:val="none"/>
          <w14:textFill>
            <w14:solidFill>
              <w14:schemeClr w14:val="tx1"/>
            </w14:solidFill>
          </w14:textFill>
        </w:rPr>
        <w:t>⑶ 招标内容及要求</w:t>
      </w:r>
      <w:bookmarkEnd w:id="47"/>
      <w:bookmarkEnd w:id="48"/>
    </w:p>
    <w:p>
      <w:pPr>
        <w:ind w:firstLine="640" w:firstLineChars="200"/>
        <w:rPr>
          <w:rFonts w:ascii="仿宋" w:hAnsi="仿宋" w:eastAsia="仿宋"/>
          <w:color w:val="000000" w:themeColor="text1"/>
          <w:sz w:val="32"/>
          <w:highlight w:val="none"/>
          <w14:textFill>
            <w14:solidFill>
              <w14:schemeClr w14:val="tx1"/>
            </w14:solidFill>
          </w14:textFill>
        </w:rPr>
      </w:pPr>
      <w:bookmarkStart w:id="49" w:name="_Toc523325333"/>
      <w:bookmarkStart w:id="50" w:name="_Toc523325153"/>
      <w:r>
        <w:rPr>
          <w:rFonts w:hint="eastAsia" w:ascii="仿宋" w:hAnsi="仿宋" w:eastAsia="仿宋"/>
          <w:color w:val="000000" w:themeColor="text1"/>
          <w:sz w:val="32"/>
          <w:highlight w:val="none"/>
          <w14:textFill>
            <w14:solidFill>
              <w14:schemeClr w14:val="tx1"/>
            </w14:solidFill>
          </w14:textFill>
        </w:rPr>
        <w:t>⑷ 投标文件格式</w:t>
      </w:r>
      <w:bookmarkEnd w:id="49"/>
      <w:bookmarkEnd w:id="50"/>
      <w:bookmarkStart w:id="51" w:name="_Toc430488644"/>
      <w:bookmarkStart w:id="52" w:name="_Toc192925654"/>
      <w:bookmarkStart w:id="53" w:name="_Toc191892306"/>
      <w:bookmarkStart w:id="54" w:name="_Toc430490612"/>
      <w:bookmarkStart w:id="55" w:name="_Toc415567497"/>
      <w:bookmarkStart w:id="56" w:name="_Toc430488851"/>
      <w:bookmarkStart w:id="57" w:name="_Toc430489119"/>
      <w:bookmarkStart w:id="58" w:name="_Toc430492126"/>
      <w:bookmarkStart w:id="59" w:name="_Toc430422413"/>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60" w:name="_Toc6246"/>
      <w:bookmarkStart w:id="61" w:name="_Toc23474"/>
      <w:bookmarkStart w:id="62" w:name="_Toc5661"/>
      <w:r>
        <w:rPr>
          <w:rFonts w:ascii="仿宋" w:hAnsi="仿宋" w:eastAsia="仿宋"/>
          <w:color w:val="000000" w:themeColor="text1"/>
          <w:sz w:val="32"/>
          <w:highlight w:val="none"/>
          <w14:textFill>
            <w14:solidFill>
              <w14:schemeClr w14:val="tx1"/>
            </w14:solidFill>
          </w14:textFill>
        </w:rPr>
        <w:t>6. 招标文件的澄清</w:t>
      </w:r>
      <w:bookmarkEnd w:id="60"/>
      <w:bookmarkEnd w:id="61"/>
      <w:bookmarkEnd w:id="62"/>
    </w:p>
    <w:bookmarkEnd w:id="51"/>
    <w:bookmarkEnd w:id="52"/>
    <w:bookmarkEnd w:id="53"/>
    <w:bookmarkEnd w:id="54"/>
    <w:bookmarkEnd w:id="55"/>
    <w:bookmarkEnd w:id="56"/>
    <w:bookmarkEnd w:id="57"/>
    <w:bookmarkEnd w:id="58"/>
    <w:bookmarkEnd w:id="59"/>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63" w:name="_Toc523325335"/>
      <w:bookmarkStart w:id="64" w:name="_Toc523325155"/>
      <w:bookmarkStart w:id="65" w:name="_Toc192925656"/>
      <w:bookmarkStart w:id="66" w:name="_Toc191892308"/>
      <w:r>
        <w:rPr>
          <w:rFonts w:hint="eastAsia" w:ascii="仿宋" w:hAnsi="仿宋" w:eastAsia="仿宋"/>
          <w:color w:val="000000" w:themeColor="text1"/>
          <w:sz w:val="32"/>
          <w:szCs w:val="32"/>
          <w:highlight w:val="none"/>
          <w14:textFill>
            <w14:solidFill>
              <w14:schemeClr w14:val="tx1"/>
            </w14:solidFill>
          </w14:textFill>
        </w:rPr>
        <w:t>6.1投标人对招标文件如有疑问，可要求澄清。要求澄清应按招标公告或投标邀请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63"/>
      <w:bookmarkEnd w:id="64"/>
      <w:bookmarkStart w:id="67" w:name="_Toc430422414"/>
      <w:bookmarkStart w:id="68" w:name="_Toc430492127"/>
      <w:bookmarkStart w:id="69" w:name="_Toc430489120"/>
      <w:bookmarkStart w:id="70" w:name="_Toc430490613"/>
      <w:bookmarkStart w:id="71" w:name="_Toc430488852"/>
      <w:bookmarkStart w:id="72" w:name="_Toc191892307"/>
      <w:bookmarkStart w:id="73" w:name="_Toc192925655"/>
      <w:bookmarkStart w:id="74" w:name="_Toc415567498"/>
      <w:bookmarkStart w:id="75" w:name="_Toc430488645"/>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76" w:name="_Toc22311"/>
      <w:bookmarkStart w:id="77" w:name="_Toc2814"/>
      <w:bookmarkStart w:id="78" w:name="_Toc7878"/>
      <w:r>
        <w:rPr>
          <w:rFonts w:ascii="仿宋" w:hAnsi="仿宋" w:eastAsia="仿宋"/>
          <w:color w:val="000000" w:themeColor="text1"/>
          <w:sz w:val="32"/>
          <w:highlight w:val="none"/>
          <w14:textFill>
            <w14:solidFill>
              <w14:schemeClr w14:val="tx1"/>
            </w14:solidFill>
          </w14:textFill>
        </w:rPr>
        <w:t xml:space="preserve">7. </w:t>
      </w:r>
      <w:r>
        <w:rPr>
          <w:rFonts w:hint="eastAsia" w:ascii="仿宋" w:hAnsi="仿宋" w:eastAsia="仿宋"/>
          <w:color w:val="000000" w:themeColor="text1"/>
          <w:sz w:val="32"/>
          <w:highlight w:val="none"/>
          <w14:textFill>
            <w14:solidFill>
              <w14:schemeClr w14:val="tx1"/>
            </w14:solidFill>
          </w14:textFill>
        </w:rPr>
        <w:t>招标文件的修改</w:t>
      </w:r>
      <w:bookmarkEnd w:id="67"/>
      <w:bookmarkEnd w:id="68"/>
      <w:bookmarkEnd w:id="69"/>
      <w:bookmarkEnd w:id="70"/>
      <w:bookmarkEnd w:id="71"/>
      <w:bookmarkEnd w:id="72"/>
      <w:bookmarkEnd w:id="73"/>
      <w:bookmarkEnd w:id="74"/>
      <w:bookmarkEnd w:id="75"/>
      <w:bookmarkEnd w:id="76"/>
      <w:bookmarkEnd w:id="77"/>
      <w:bookmarkEnd w:id="78"/>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79" w:name="_Toc523325337"/>
      <w:bookmarkStart w:id="80" w:name="_Toc523325157"/>
      <w:r>
        <w:rPr>
          <w:rFonts w:hint="eastAsia" w:ascii="仿宋" w:hAnsi="仿宋" w:eastAsia="仿宋"/>
          <w:color w:val="000000" w:themeColor="text1"/>
          <w:sz w:val="32"/>
          <w:szCs w:val="32"/>
          <w:highlight w:val="none"/>
          <w14:textFill>
            <w14:solidFill>
              <w14:schemeClr w14:val="tx1"/>
            </w14:solidFill>
          </w14:textFill>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79"/>
      <w:bookmarkEnd w:id="80"/>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81" w:name="_Toc523325338"/>
      <w:bookmarkStart w:id="82" w:name="_Toc523325158"/>
      <w:r>
        <w:rPr>
          <w:rFonts w:hint="eastAsia" w:ascii="仿宋" w:hAnsi="仿宋" w:eastAsia="仿宋"/>
          <w:color w:val="000000" w:themeColor="text1"/>
          <w:sz w:val="32"/>
          <w:szCs w:val="32"/>
          <w:highlight w:val="none"/>
          <w14:textFill>
            <w14:solidFill>
              <w14:schemeClr w14:val="tx1"/>
            </w14:solidFill>
          </w14:textFill>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81"/>
      <w:bookmarkEnd w:id="82"/>
    </w:p>
    <w:p>
      <w:pPr>
        <w:spacing w:line="500" w:lineRule="exact"/>
        <w:rPr>
          <w:rFonts w:ascii="仿宋" w:hAnsi="仿宋" w:eastAsia="仿宋"/>
          <w:color w:val="000000" w:themeColor="text1"/>
          <w:sz w:val="32"/>
          <w:szCs w:val="32"/>
          <w:highlight w:val="none"/>
          <w14:textFill>
            <w14:solidFill>
              <w14:schemeClr w14:val="tx1"/>
            </w14:solidFill>
          </w14:textFill>
        </w:rPr>
      </w:pPr>
    </w:p>
    <w:p>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83" w:name="_Toc3212"/>
      <w:bookmarkStart w:id="84" w:name="_Toc11325"/>
      <w:r>
        <w:rPr>
          <w:rFonts w:hint="eastAsia" w:ascii="仿宋" w:hAnsi="仿宋" w:eastAsia="仿宋"/>
          <w:color w:val="000000" w:themeColor="text1"/>
          <w:sz w:val="32"/>
          <w:highlight w:val="none"/>
          <w14:textFill>
            <w14:solidFill>
              <w14:schemeClr w14:val="tx1"/>
            </w14:solidFill>
          </w14:textFill>
        </w:rPr>
        <w:t>第三节  投标文件的编写</w:t>
      </w:r>
      <w:bookmarkEnd w:id="65"/>
      <w:bookmarkEnd w:id="66"/>
      <w:bookmarkEnd w:id="83"/>
      <w:bookmarkEnd w:id="84"/>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85" w:name="_Toc8558"/>
      <w:bookmarkStart w:id="86" w:name="_Toc7325"/>
      <w:bookmarkStart w:id="87" w:name="_Toc191892309"/>
      <w:bookmarkStart w:id="88" w:name="_Toc192925657"/>
      <w:r>
        <w:rPr>
          <w:rFonts w:hint="eastAsia" w:ascii="仿宋" w:hAnsi="仿宋" w:eastAsia="仿宋"/>
          <w:color w:val="000000" w:themeColor="text1"/>
          <w:sz w:val="32"/>
          <w:highlight w:val="none"/>
          <w14:textFill>
            <w14:solidFill>
              <w14:schemeClr w14:val="tx1"/>
            </w14:solidFill>
          </w14:textFill>
        </w:rPr>
        <w:t>8</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要求</w:t>
      </w:r>
      <w:bookmarkEnd w:id="85"/>
      <w:bookmarkEnd w:id="86"/>
      <w:bookmarkEnd w:id="87"/>
      <w:bookmarkEnd w:id="88"/>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89" w:name="_Toc191892310"/>
      <w:bookmarkStart w:id="90" w:name="_Toc10201"/>
      <w:bookmarkStart w:id="91" w:name="_Toc192925658"/>
      <w:bookmarkStart w:id="92" w:name="_Toc20884"/>
      <w:r>
        <w:rPr>
          <w:rFonts w:hint="eastAsia" w:ascii="仿宋" w:hAnsi="仿宋" w:eastAsia="仿宋"/>
          <w:color w:val="000000" w:themeColor="text1"/>
          <w:sz w:val="32"/>
          <w:highlight w:val="none"/>
          <w14:textFill>
            <w14:solidFill>
              <w14:schemeClr w14:val="tx1"/>
            </w14:solidFill>
          </w14:textFill>
        </w:rPr>
        <w:t>9</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投标文件语言</w:t>
      </w:r>
      <w:bookmarkEnd w:id="89"/>
      <w:bookmarkEnd w:id="90"/>
      <w:bookmarkEnd w:id="91"/>
      <w:bookmarkEnd w:id="92"/>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93" w:name="_Toc22812"/>
      <w:bookmarkStart w:id="94" w:name="_Toc26190"/>
      <w:bookmarkStart w:id="95" w:name="_Toc191892311"/>
      <w:bookmarkStart w:id="96" w:name="_Toc192925659"/>
      <w:r>
        <w:rPr>
          <w:rFonts w:hint="eastAsia" w:ascii="仿宋" w:hAnsi="仿宋" w:eastAsia="仿宋"/>
          <w:color w:val="000000" w:themeColor="text1"/>
          <w:sz w:val="32"/>
          <w:highlight w:val="none"/>
          <w14:textFill>
            <w14:solidFill>
              <w14:schemeClr w14:val="tx1"/>
            </w14:solidFill>
          </w14:textFill>
        </w:rPr>
        <w:t>10</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投标文件的组成</w:t>
      </w:r>
      <w:bookmarkEnd w:id="93"/>
      <w:bookmarkEnd w:id="94"/>
      <w:bookmarkEnd w:id="95"/>
      <w:bookmarkEnd w:id="96"/>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投标文件应包括下列部分：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10.1.1</w:t>
      </w:r>
      <w:r>
        <w:rPr>
          <w:rFonts w:hint="eastAsia" w:ascii="仿宋" w:hAnsi="仿宋" w:eastAsia="仿宋"/>
          <w:color w:val="000000" w:themeColor="text1"/>
          <w:sz w:val="32"/>
          <w:szCs w:val="32"/>
          <w:highlight w:val="none"/>
          <w14:textFill>
            <w14:solidFill>
              <w14:schemeClr w14:val="tx1"/>
            </w14:solidFill>
          </w14:textFill>
        </w:rPr>
        <w:t>投标书</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10.1.2</w:t>
      </w:r>
      <w:r>
        <w:rPr>
          <w:rFonts w:hint="eastAsia" w:ascii="仿宋" w:hAnsi="仿宋" w:eastAsia="仿宋"/>
          <w:color w:val="000000" w:themeColor="text1"/>
          <w:sz w:val="32"/>
          <w:szCs w:val="32"/>
          <w:highlight w:val="none"/>
          <w14:textFill>
            <w14:solidFill>
              <w14:schemeClr w14:val="tx1"/>
            </w14:solidFill>
          </w14:textFill>
        </w:rPr>
        <w:t>开标一览表</w:t>
      </w:r>
    </w:p>
    <w:p>
      <w:pPr>
        <w:spacing w:line="500" w:lineRule="exact"/>
        <w:ind w:firstLine="640" w:firstLineChars="200"/>
        <w:rPr>
          <w:rFonts w:hint="default" w:ascii="仿宋" w:hAnsi="仿宋" w:eastAsia="仿宋"/>
          <w:color w:val="000000" w:themeColor="text1"/>
          <w:sz w:val="32"/>
          <w:szCs w:val="32"/>
          <w:highlight w:val="none"/>
          <w:lang w:val="en-US" w:eastAsia="zh-CN"/>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10.1.3</w:t>
      </w:r>
      <w:r>
        <w:rPr>
          <w:rFonts w:hint="eastAsia" w:ascii="仿宋" w:hAnsi="仿宋" w:eastAsia="仿宋"/>
          <w:color w:val="000000" w:themeColor="text1"/>
          <w:sz w:val="32"/>
          <w:szCs w:val="32"/>
          <w:highlight w:val="none"/>
          <w:lang w:val="en-US" w:eastAsia="zh-CN"/>
          <w14:textFill>
            <w14:solidFill>
              <w14:schemeClr w14:val="tx1"/>
            </w14:solidFill>
          </w14:textFill>
        </w:rPr>
        <w:t>投标人业绩证明</w:t>
      </w:r>
    </w:p>
    <w:p>
      <w:pPr>
        <w:spacing w:line="500" w:lineRule="exact"/>
        <w:ind w:firstLine="640" w:firstLineChars="200"/>
        <w:rPr>
          <w:rFonts w:hint="eastAsia" w:ascii="仿宋" w:hAnsi="仿宋" w:eastAsia="仿宋"/>
          <w:color w:val="000000" w:themeColor="text1"/>
          <w:sz w:val="32"/>
          <w:szCs w:val="32"/>
          <w:highlight w:val="none"/>
          <w:lang w:val="en-US" w:eastAsia="zh-CN"/>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4</w:t>
      </w:r>
      <w:r>
        <w:rPr>
          <w:rFonts w:hint="eastAsia" w:ascii="仿宋" w:hAnsi="仿宋" w:eastAsia="仿宋"/>
          <w:color w:val="000000" w:themeColor="text1"/>
          <w:sz w:val="32"/>
          <w:szCs w:val="32"/>
          <w:highlight w:val="none"/>
          <w:lang w:val="en-US" w:eastAsia="zh-CN"/>
          <w14:textFill>
            <w14:solidFill>
              <w14:schemeClr w14:val="tx1"/>
            </w14:solidFill>
          </w14:textFill>
        </w:rPr>
        <w:t>智慧电箱及监测平台技术功能承诺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5</w:t>
      </w:r>
      <w:r>
        <w:rPr>
          <w:rFonts w:hint="eastAsia" w:ascii="仿宋" w:hAnsi="仿宋" w:eastAsia="仿宋"/>
          <w:b w:val="0"/>
          <w:bCs w:val="0"/>
          <w:color w:val="000000" w:themeColor="text1"/>
          <w:sz w:val="32"/>
          <w:szCs w:val="32"/>
          <w:highlight w:val="none"/>
          <w14:textFill>
            <w14:solidFill>
              <w14:schemeClr w14:val="tx1"/>
            </w14:solidFill>
          </w14:textFill>
        </w:rPr>
        <w:t>带“★”号条款逐条响应情况表</w:t>
      </w:r>
    </w:p>
    <w:p>
      <w:pPr>
        <w:spacing w:line="500" w:lineRule="exact"/>
        <w:ind w:firstLine="640" w:firstLineChars="200"/>
        <w:rPr>
          <w:rFonts w:hint="eastAsia" w:ascii="仿宋" w:hAnsi="仿宋" w:eastAsia="仿宋"/>
          <w:color w:val="000000" w:themeColor="text1"/>
          <w:sz w:val="32"/>
          <w:szCs w:val="32"/>
          <w:highlight w:val="none"/>
          <w:lang w:val="en-US" w:eastAsia="zh-CN"/>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6</w:t>
      </w:r>
      <w:r>
        <w:rPr>
          <w:rFonts w:hint="eastAsia" w:ascii="仿宋" w:hAnsi="仿宋" w:eastAsia="仿宋"/>
          <w:color w:val="000000" w:themeColor="text1"/>
          <w:sz w:val="32"/>
          <w:szCs w:val="32"/>
          <w:highlight w:val="none"/>
          <w:lang w:val="en-US" w:eastAsia="zh-CN"/>
          <w14:textFill>
            <w14:solidFill>
              <w14:schemeClr w14:val="tx1"/>
            </w14:solidFill>
          </w14:textFill>
        </w:rPr>
        <w:t>法人营业执照</w:t>
      </w:r>
    </w:p>
    <w:p>
      <w:pPr>
        <w:spacing w:line="500" w:lineRule="exact"/>
        <w:ind w:firstLine="640" w:firstLineChars="200"/>
        <w:rPr>
          <w:rFonts w:hint="eastAsia" w:ascii="仿宋" w:hAnsi="仿宋" w:eastAsia="仿宋"/>
          <w:color w:val="000000" w:themeColor="text1"/>
          <w:sz w:val="32"/>
          <w:szCs w:val="32"/>
          <w:highlight w:val="none"/>
          <w:lang w:val="en-US" w:eastAsia="zh-CN"/>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7</w:t>
      </w:r>
      <w:r>
        <w:rPr>
          <w:rFonts w:hint="eastAsia" w:ascii="仿宋" w:hAnsi="仿宋" w:eastAsia="仿宋"/>
          <w:color w:val="000000" w:themeColor="text1"/>
          <w:sz w:val="32"/>
          <w:szCs w:val="32"/>
          <w:highlight w:val="none"/>
          <w:lang w:val="en-US" w:eastAsia="zh-CN"/>
          <w14:textFill>
            <w14:solidFill>
              <w14:schemeClr w14:val="tx1"/>
            </w14:solidFill>
          </w14:textFill>
        </w:rPr>
        <w:t>廉洁诚信承诺书</w:t>
      </w:r>
    </w:p>
    <w:p>
      <w:pPr>
        <w:spacing w:line="500" w:lineRule="exact"/>
        <w:ind w:firstLine="640" w:firstLineChars="200"/>
        <w:rPr>
          <w:rFonts w:hint="eastAsia" w:ascii="仿宋" w:hAnsi="仿宋" w:eastAsia="仿宋"/>
          <w:color w:val="000000" w:themeColor="text1"/>
          <w:sz w:val="32"/>
          <w:szCs w:val="32"/>
          <w:highlight w:val="none"/>
          <w:lang w:val="en-US" w:eastAsia="zh-CN"/>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14:textFill>
            <w14:solidFill>
              <w14:schemeClr w14:val="tx1"/>
            </w14:solidFill>
          </w14:textFill>
        </w:rPr>
        <w:t>8</w:t>
      </w:r>
      <w:r>
        <w:rPr>
          <w:rFonts w:hint="eastAsia" w:ascii="仿宋" w:hAnsi="仿宋" w:eastAsia="仿宋"/>
          <w:color w:val="000000" w:themeColor="text1"/>
          <w:sz w:val="32"/>
          <w:szCs w:val="32"/>
          <w:highlight w:val="none"/>
          <w:lang w:val="en-US" w:eastAsia="zh-CN"/>
          <w14:textFill>
            <w14:solidFill>
              <w14:schemeClr w14:val="tx1"/>
            </w14:solidFill>
          </w14:textFill>
        </w:rPr>
        <w:t>作业安全承诺书</w:t>
      </w:r>
    </w:p>
    <w:p>
      <w:pPr>
        <w:spacing w:line="500" w:lineRule="exact"/>
        <w:ind w:firstLine="640" w:firstLineChars="200"/>
        <w:rPr>
          <w:rFonts w:hint="eastAsia" w:ascii="仿宋" w:hAnsi="仿宋" w:eastAsia="仿宋"/>
          <w:color w:val="000000" w:themeColor="text1"/>
          <w:sz w:val="32"/>
          <w:szCs w:val="32"/>
          <w:highlight w:val="none"/>
          <w:lang w:val="en-US" w:eastAsia="zh-CN"/>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lang w:val="en-US" w:eastAsia="zh-CN"/>
          <w14:textFill>
            <w14:solidFill>
              <w14:schemeClr w14:val="tx1"/>
            </w14:solidFill>
          </w14:textFill>
        </w:rPr>
        <w:t>9法人代表授权书</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10.1.</w:t>
      </w:r>
      <w:r>
        <w:rPr>
          <w:rFonts w:hint="eastAsia" w:ascii="仿宋" w:hAnsi="仿宋" w:eastAsia="仿宋"/>
          <w:color w:val="000000" w:themeColor="text1"/>
          <w:sz w:val="32"/>
          <w:szCs w:val="32"/>
          <w:highlight w:val="none"/>
          <w:lang w:val="en-US" w:eastAsia="zh-CN"/>
          <w14:textFill>
            <w14:solidFill>
              <w14:schemeClr w14:val="tx1"/>
            </w14:solidFill>
          </w14:textFill>
        </w:rPr>
        <w:t>10</w:t>
      </w:r>
      <w:r>
        <w:rPr>
          <w:rFonts w:hint="eastAsia" w:ascii="仿宋" w:hAnsi="仿宋" w:eastAsia="仿宋"/>
          <w:color w:val="000000" w:themeColor="text1"/>
          <w:sz w:val="32"/>
          <w:szCs w:val="32"/>
          <w:highlight w:val="none"/>
          <w14:textFill>
            <w14:solidFill>
              <w14:schemeClr w14:val="tx1"/>
            </w14:solidFill>
          </w14:textFill>
        </w:rPr>
        <w:t>投标人提交的其它资料</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97" w:name="_Toc191892312"/>
      <w:bookmarkStart w:id="98" w:name="_Toc192925660"/>
      <w:bookmarkStart w:id="99" w:name="_Toc4863"/>
      <w:bookmarkStart w:id="100" w:name="_Toc25901"/>
      <w:r>
        <w:rPr>
          <w:rFonts w:hint="eastAsia" w:ascii="仿宋" w:hAnsi="仿宋" w:eastAsia="仿宋"/>
          <w:color w:val="000000" w:themeColor="text1"/>
          <w:sz w:val="32"/>
          <w:highlight w:val="none"/>
          <w14:textFill>
            <w14:solidFill>
              <w14:schemeClr w14:val="tx1"/>
            </w14:solidFill>
          </w14:textFill>
        </w:rPr>
        <w:t>11</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投标有效期</w:t>
      </w:r>
      <w:bookmarkEnd w:id="97"/>
      <w:bookmarkEnd w:id="98"/>
      <w:bookmarkEnd w:id="99"/>
      <w:bookmarkEnd w:id="100"/>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11.1投标文件从“</w:t>
      </w:r>
      <w:r>
        <w:rPr>
          <w:rFonts w:hint="eastAsia" w:ascii="仿宋" w:hAnsi="仿宋" w:eastAsia="仿宋"/>
          <w:bCs/>
          <w:color w:val="000000" w:themeColor="text1"/>
          <w:sz w:val="32"/>
          <w:szCs w:val="32"/>
          <w:highlight w:val="none"/>
          <w14:textFill>
            <w14:solidFill>
              <w14:schemeClr w14:val="tx1"/>
            </w14:solidFill>
          </w14:textFill>
        </w:rPr>
        <w:t>投标人须知前附表”</w:t>
      </w:r>
      <w:r>
        <w:rPr>
          <w:rFonts w:hint="eastAsia" w:ascii="仿宋" w:hAnsi="仿宋" w:eastAsia="仿宋"/>
          <w:color w:val="000000" w:themeColor="text1"/>
          <w:sz w:val="32"/>
          <w:szCs w:val="32"/>
          <w:highlight w:val="none"/>
          <w14:textFill>
            <w14:solidFill>
              <w14:schemeClr w14:val="tx1"/>
            </w14:solidFill>
          </w14:textFill>
        </w:rPr>
        <w:t>第4项所规定的投标截止期之后开始生效，在“</w:t>
      </w:r>
      <w:r>
        <w:rPr>
          <w:rFonts w:hint="eastAsia" w:ascii="仿宋" w:hAnsi="仿宋" w:eastAsia="仿宋"/>
          <w:bCs/>
          <w:color w:val="000000" w:themeColor="text1"/>
          <w:sz w:val="32"/>
          <w:szCs w:val="32"/>
          <w:highlight w:val="none"/>
          <w14:textFill>
            <w14:solidFill>
              <w14:schemeClr w14:val="tx1"/>
            </w14:solidFill>
          </w14:textFill>
        </w:rPr>
        <w:t>投标人须知前附表”</w:t>
      </w:r>
      <w:r>
        <w:rPr>
          <w:rFonts w:hint="eastAsia" w:ascii="仿宋" w:hAnsi="仿宋" w:eastAsia="仿宋"/>
          <w:color w:val="000000" w:themeColor="text1"/>
          <w:sz w:val="32"/>
          <w:szCs w:val="32"/>
          <w:highlight w:val="none"/>
          <w14:textFill>
            <w14:solidFill>
              <w14:schemeClr w14:val="tx1"/>
            </w14:solidFill>
          </w14:textFill>
        </w:rPr>
        <w:t>第</w:t>
      </w: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项所规定的期限内保持有效。有效期不足将导致其投标文件被拒绝。</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01" w:name="_Toc191892313"/>
      <w:bookmarkStart w:id="102" w:name="_Toc192925661"/>
      <w:bookmarkStart w:id="103" w:name="_Toc32045"/>
      <w:bookmarkStart w:id="104" w:name="_Toc22316"/>
      <w:r>
        <w:rPr>
          <w:rFonts w:hint="eastAsia" w:ascii="仿宋" w:hAnsi="仿宋" w:eastAsia="仿宋"/>
          <w:color w:val="000000" w:themeColor="text1"/>
          <w:sz w:val="32"/>
          <w:highlight w:val="none"/>
          <w14:textFill>
            <w14:solidFill>
              <w14:schemeClr w14:val="tx1"/>
            </w14:solidFill>
          </w14:textFill>
        </w:rPr>
        <w:t>12. 投标保证金</w:t>
      </w:r>
      <w:bookmarkEnd w:id="101"/>
      <w:bookmarkEnd w:id="102"/>
      <w:bookmarkEnd w:id="103"/>
      <w:bookmarkEnd w:id="104"/>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12.1 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12.1.1投标保证金为投标文件的组成部分之一。</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12.1.2 投标人应在提交投标文件之前，向招标人缴交“投标人须知前附表”第5项要求的投标保证金。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12.1.3 投标保证金用于保护本次招标活动免受投标人的行为而引起的风险。</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12.1.4 投标保证金以转账或电汇形式提交，必须于投标截止时间前到账。</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12.1.5 未按规定缴交投标保证金的投标，将被视为无效投标。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12.1.6中标通知书发出后，招标人</w:t>
      </w:r>
      <w:r>
        <w:rPr>
          <w:rFonts w:ascii="仿宋" w:hAnsi="仿宋" w:eastAsia="仿宋"/>
          <w:color w:val="000000" w:themeColor="text1"/>
          <w:sz w:val="32"/>
          <w:szCs w:val="32"/>
          <w:highlight w:val="none"/>
          <w14:textFill>
            <w14:solidFill>
              <w14:schemeClr w14:val="tx1"/>
            </w14:solidFill>
          </w14:textFill>
        </w:rPr>
        <w:t>将</w:t>
      </w:r>
      <w:r>
        <w:rPr>
          <w:rFonts w:hint="eastAsia" w:ascii="仿宋" w:hAnsi="仿宋" w:eastAsia="仿宋"/>
          <w:color w:val="000000" w:themeColor="text1"/>
          <w:sz w:val="32"/>
          <w:szCs w:val="32"/>
          <w:highlight w:val="none"/>
          <w14:textFill>
            <w14:solidFill>
              <w14:schemeClr w14:val="tx1"/>
            </w14:solidFill>
          </w14:textFill>
        </w:rPr>
        <w:t>在</w:t>
      </w:r>
      <w:r>
        <w:rPr>
          <w:rFonts w:hint="eastAsia" w:ascii="仿宋" w:hAnsi="仿宋" w:eastAsia="仿宋"/>
          <w:color w:val="000000" w:themeColor="text1"/>
          <w:sz w:val="32"/>
          <w:szCs w:val="32"/>
          <w:highlight w:val="none"/>
          <w:lang w:val="en-US" w:eastAsia="zh-CN"/>
          <w14:textFill>
            <w14:solidFill>
              <w14:schemeClr w14:val="tx1"/>
            </w14:solidFill>
          </w14:textFill>
        </w:rPr>
        <w:t>20</w:t>
      </w:r>
      <w:r>
        <w:rPr>
          <w:rFonts w:hint="eastAsia" w:ascii="仿宋" w:hAnsi="仿宋" w:eastAsia="仿宋"/>
          <w:color w:val="000000" w:themeColor="text1"/>
          <w:sz w:val="32"/>
          <w:szCs w:val="32"/>
          <w:highlight w:val="none"/>
          <w14:textFill>
            <w14:solidFill>
              <w14:schemeClr w14:val="tx1"/>
            </w14:solidFill>
          </w14:textFill>
        </w:rPr>
        <w:t>个工作日内予以原额无息退还未中标人的投标保证金。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12.1.7 发生</w:t>
      </w:r>
      <w:r>
        <w:rPr>
          <w:rFonts w:hint="eastAsia" w:ascii="仿宋" w:hAnsi="仿宋" w:eastAsia="仿宋"/>
          <w:b/>
          <w:color w:val="000000" w:themeColor="text1"/>
          <w:sz w:val="32"/>
          <w:szCs w:val="32"/>
          <w:highlight w:val="none"/>
          <w14:textFill>
            <w14:solidFill>
              <w14:schemeClr w14:val="tx1"/>
            </w14:solidFill>
          </w14:textFill>
        </w:rPr>
        <w:t>以下情况之一</w:t>
      </w:r>
      <w:r>
        <w:rPr>
          <w:rFonts w:hint="eastAsia" w:ascii="仿宋" w:hAnsi="仿宋" w:eastAsia="仿宋"/>
          <w:color w:val="000000" w:themeColor="text1"/>
          <w:sz w:val="32"/>
          <w:szCs w:val="32"/>
          <w:highlight w:val="none"/>
          <w14:textFill>
            <w14:solidFill>
              <w14:schemeClr w14:val="tx1"/>
            </w14:solidFill>
          </w14:textFill>
        </w:rPr>
        <w:t>的，投标保证金将</w:t>
      </w:r>
      <w:r>
        <w:rPr>
          <w:rFonts w:hint="eastAsia" w:ascii="仿宋" w:hAnsi="仿宋" w:eastAsia="仿宋"/>
          <w:b/>
          <w:color w:val="000000" w:themeColor="text1"/>
          <w:sz w:val="32"/>
          <w:szCs w:val="32"/>
          <w:highlight w:val="none"/>
          <w14:textFill>
            <w14:solidFill>
              <w14:schemeClr w14:val="tx1"/>
            </w14:solidFill>
          </w14:textFill>
        </w:rPr>
        <w:t>不予退还</w:t>
      </w: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⑴ 投标人在投标截止期后，投标有效期内撤回投标；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⑵ 中标人未能做到按本须知第22条规定签订合同；</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⑶中标人未按本招标文件规定提交银行履约保函或履约保证金的；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⑷ 以他人名义投标或者以其他方式弄虚作假，骗取中标；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⑸ 本招标文件中规定的其他没收投标保证金的情形。</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上述不予退还投标保证金的情况，如给招标人造成损失的，投标人还应承担赔偿责任。</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05" w:name="_Toc13454"/>
      <w:bookmarkStart w:id="106" w:name="_Toc192925662"/>
      <w:bookmarkStart w:id="107" w:name="_Toc1032"/>
      <w:bookmarkStart w:id="108" w:name="_Toc191892314"/>
      <w:r>
        <w:rPr>
          <w:rFonts w:hint="eastAsia" w:ascii="仿宋" w:hAnsi="仿宋" w:eastAsia="仿宋"/>
          <w:color w:val="000000" w:themeColor="text1"/>
          <w:sz w:val="32"/>
          <w:highlight w:val="none"/>
          <w14:textFill>
            <w14:solidFill>
              <w14:schemeClr w14:val="tx1"/>
            </w14:solidFill>
          </w14:textFill>
        </w:rPr>
        <w:t>13</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投标文件的格式</w:t>
      </w:r>
      <w:bookmarkEnd w:id="105"/>
      <w:bookmarkEnd w:id="106"/>
      <w:bookmarkEnd w:id="107"/>
      <w:bookmarkEnd w:id="108"/>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13.1投标人须按照本招标文件规定，编制</w:t>
      </w:r>
      <w:r>
        <w:rPr>
          <w:rFonts w:hint="eastAsia" w:ascii="仿宋" w:hAnsi="仿宋" w:eastAsia="仿宋" w:cs="Times New Roman"/>
          <w:color w:val="000000" w:themeColor="text1"/>
          <w:sz w:val="32"/>
          <w:szCs w:val="32"/>
          <w:highlight w:val="none"/>
          <w14:textFill>
            <w14:solidFill>
              <w14:schemeClr w14:val="tx1"/>
            </w14:solidFill>
          </w14:textFill>
        </w:rPr>
        <w:t>投标文件的正本一份，副本一份</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w:t>
      </w:r>
      <w:r>
        <w:rPr>
          <w:rFonts w:hint="eastAsia" w:ascii="仿宋" w:hAnsi="仿宋" w:eastAsia="仿宋" w:cs="Times New Roman"/>
          <w:color w:val="000000" w:themeColor="text1"/>
          <w:sz w:val="32"/>
          <w:szCs w:val="32"/>
          <w:highlight w:val="none"/>
          <w14:textFill>
            <w14:solidFill>
              <w14:schemeClr w14:val="tx1"/>
            </w14:solidFill>
          </w14:textFill>
        </w:rPr>
        <w:t>电子版一份</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(通过U盘介质提交）</w:t>
      </w:r>
      <w:r>
        <w:rPr>
          <w:rFonts w:hint="eastAsia" w:ascii="仿宋" w:hAnsi="仿宋" w:eastAsia="仿宋" w:cs="Times New Roman"/>
          <w:color w:val="000000" w:themeColor="text1"/>
          <w:sz w:val="32"/>
          <w:szCs w:val="32"/>
          <w:highlight w:val="none"/>
          <w:lang w:eastAsia="zh-CN"/>
          <w14:textFill>
            <w14:solidFill>
              <w14:schemeClr w14:val="tx1"/>
            </w14:solidFill>
          </w14:textFill>
        </w:rPr>
        <w:t>。</w:t>
      </w:r>
      <w:r>
        <w:rPr>
          <w:rFonts w:hint="eastAsia" w:ascii="仿宋" w:hAnsi="仿宋" w:eastAsia="仿宋" w:cs="Times New Roman"/>
          <w:color w:val="000000" w:themeColor="text1"/>
          <w:sz w:val="32"/>
          <w:szCs w:val="32"/>
          <w:highlight w:val="none"/>
          <w14:textFill>
            <w14:solidFill>
              <w14:schemeClr w14:val="tx1"/>
            </w14:solidFill>
          </w14:textFill>
        </w:rPr>
        <w:t>正</w:t>
      </w:r>
      <w:r>
        <w:rPr>
          <w:rFonts w:hint="eastAsia" w:ascii="仿宋" w:hAnsi="仿宋" w:eastAsia="仿宋"/>
          <w:color w:val="000000" w:themeColor="text1"/>
          <w:sz w:val="32"/>
          <w:szCs w:val="32"/>
          <w:highlight w:val="none"/>
          <w14:textFill>
            <w14:solidFill>
              <w14:schemeClr w14:val="tx1"/>
            </w14:solidFill>
          </w14:textFill>
        </w:rPr>
        <w:t>本必须用A4幅面纸张打印装订，副本可用正本的完整复印件，投标文件电子版应为doc格式</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并在封面标明“正本”、“副本”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电子版”</w:t>
      </w:r>
      <w:r>
        <w:rPr>
          <w:rFonts w:hint="eastAsia" w:ascii="仿宋" w:hAnsi="仿宋" w:eastAsia="仿宋"/>
          <w:color w:val="000000" w:themeColor="text1"/>
          <w:sz w:val="32"/>
          <w:szCs w:val="32"/>
          <w:highlight w:val="none"/>
          <w14:textFill>
            <w14:solidFill>
              <w14:schemeClr w14:val="tx1"/>
            </w14:solidFill>
          </w14:textFill>
        </w:rPr>
        <w:t>字样。正本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副本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电子版</w:t>
      </w:r>
      <w:r>
        <w:rPr>
          <w:rFonts w:hint="eastAsia" w:ascii="仿宋" w:hAnsi="仿宋" w:eastAsia="仿宋"/>
          <w:color w:val="000000" w:themeColor="text1"/>
          <w:sz w:val="32"/>
          <w:szCs w:val="32"/>
          <w:highlight w:val="none"/>
          <w14:textFill>
            <w14:solidFill>
              <w14:schemeClr w14:val="tx1"/>
            </w14:solidFill>
          </w14:textFill>
        </w:rPr>
        <w:t>如有不一致，则以正本为准。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13.3 除非有另外的规定或许可外，投标使用货币均为人民币。</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 xml:space="preserve">.5 </w:t>
      </w:r>
      <w:r>
        <w:rPr>
          <w:rFonts w:hint="eastAsia" w:ascii="仿宋" w:hAnsi="仿宋" w:eastAsia="仿宋"/>
          <w:color w:val="000000" w:themeColor="text1"/>
          <w:sz w:val="32"/>
          <w:szCs w:val="32"/>
          <w:highlight w:val="none"/>
          <w14:textFill>
            <w14:solidFill>
              <w14:schemeClr w14:val="tx1"/>
            </w14:solidFill>
          </w14:textFill>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13.8 所有资格证明文件复印件，须加盖投标人公章。</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color w:val="000000" w:themeColor="text1"/>
          <w:sz w:val="32"/>
          <w:szCs w:val="32"/>
          <w:highlight w:val="none"/>
          <w14:textFill>
            <w14:solidFill>
              <w14:schemeClr w14:val="tx1"/>
            </w14:solidFill>
          </w14:textFill>
        </w:rPr>
      </w:pPr>
    </w:p>
    <w:p>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109" w:name="_Toc191892315"/>
      <w:bookmarkStart w:id="110" w:name="_Toc192925663"/>
      <w:bookmarkStart w:id="111" w:name="_Toc25755"/>
      <w:bookmarkStart w:id="112" w:name="_Toc6300"/>
      <w:r>
        <w:rPr>
          <w:rFonts w:hint="eastAsia" w:ascii="仿宋" w:hAnsi="仿宋" w:eastAsia="仿宋"/>
          <w:color w:val="000000" w:themeColor="text1"/>
          <w:sz w:val="32"/>
          <w:highlight w:val="none"/>
          <w14:textFill>
            <w14:solidFill>
              <w14:schemeClr w14:val="tx1"/>
            </w14:solidFill>
          </w14:textFill>
        </w:rPr>
        <w:t>第四节  投标文件的提交</w:t>
      </w:r>
      <w:bookmarkEnd w:id="109"/>
      <w:bookmarkEnd w:id="110"/>
      <w:bookmarkEnd w:id="111"/>
      <w:bookmarkEnd w:id="112"/>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13" w:name="_Toc191892316"/>
      <w:bookmarkStart w:id="114" w:name="_Toc32349"/>
      <w:bookmarkStart w:id="115" w:name="_Toc192925664"/>
      <w:bookmarkStart w:id="116" w:name="_Toc18960"/>
      <w:r>
        <w:rPr>
          <w:rFonts w:hint="eastAsia" w:ascii="仿宋" w:hAnsi="仿宋" w:eastAsia="仿宋"/>
          <w:color w:val="000000" w:themeColor="text1"/>
          <w:sz w:val="32"/>
          <w:highlight w:val="none"/>
          <w14:textFill>
            <w14:solidFill>
              <w14:schemeClr w14:val="tx1"/>
            </w14:solidFill>
          </w14:textFill>
        </w:rPr>
        <w:t>14. 投标文件的密封、标记和递交</w:t>
      </w:r>
      <w:bookmarkEnd w:id="113"/>
      <w:bookmarkEnd w:id="114"/>
      <w:bookmarkEnd w:id="115"/>
      <w:bookmarkEnd w:id="116"/>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14.1 投标人应将投标文件正本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副本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电子版</w:t>
      </w:r>
      <w:r>
        <w:rPr>
          <w:rFonts w:hint="eastAsia" w:ascii="仿宋" w:hAnsi="仿宋" w:eastAsia="仿宋"/>
          <w:color w:val="000000" w:themeColor="text1"/>
          <w:sz w:val="32"/>
          <w:szCs w:val="32"/>
          <w:highlight w:val="none"/>
          <w14:textFill>
            <w14:solidFill>
              <w14:schemeClr w14:val="tx1"/>
            </w14:solidFill>
          </w14:textFill>
        </w:rPr>
        <w:t>分别用信封密封，并标明招标编号、招标项目名称、投标人名称等及“正本”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“副本”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电子版”</w:t>
      </w:r>
      <w:r>
        <w:rPr>
          <w:rFonts w:hint="eastAsia" w:ascii="仿宋" w:hAnsi="仿宋" w:eastAsia="仿宋"/>
          <w:color w:val="000000" w:themeColor="text1"/>
          <w:sz w:val="32"/>
          <w:szCs w:val="32"/>
          <w:highlight w:val="none"/>
          <w14:textFill>
            <w14:solidFill>
              <w14:schemeClr w14:val="tx1"/>
            </w14:solidFill>
          </w14:textFill>
        </w:rPr>
        <w:t>字样。投标文件未密封将导致其投标被拒绝。</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14.2 每一信封密封处应加盖投标人公章或由授权代表签字。</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14.5投标文件应在投标邀请中规定的截止时间前送达，迟到的投标文件为无效投标文件, 将被拒收。</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14.8投标截止时间结束后，参加投标的投标人不足三家的，本次招标程序终止。除采购任务取消情形外，招标人将依法重新组织招标或者采取竞争性谈判等其他方式采购。</w:t>
      </w:r>
      <w:bookmarkStart w:id="117" w:name="_Toc191892317"/>
      <w:bookmarkStart w:id="118" w:name="_Toc192925665"/>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p>
    <w:p>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119" w:name="_Toc26702"/>
      <w:bookmarkStart w:id="120" w:name="_Toc27611"/>
      <w:r>
        <w:rPr>
          <w:rFonts w:hint="eastAsia" w:ascii="仿宋" w:hAnsi="仿宋" w:eastAsia="仿宋"/>
          <w:color w:val="000000" w:themeColor="text1"/>
          <w:sz w:val="32"/>
          <w:highlight w:val="none"/>
          <w14:textFill>
            <w14:solidFill>
              <w14:schemeClr w14:val="tx1"/>
            </w14:solidFill>
          </w14:textFill>
        </w:rPr>
        <w:t>第五节</w:t>
      </w:r>
      <w:r>
        <w:rPr>
          <w:rFonts w:hint="eastAsia" w:ascii="仿宋" w:hAnsi="仿宋" w:eastAsia="仿宋"/>
          <w:color w:val="000000" w:themeColor="text1"/>
          <w:sz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投标文件的评估和比较</w:t>
      </w:r>
      <w:bookmarkEnd w:id="117"/>
      <w:bookmarkEnd w:id="118"/>
      <w:bookmarkEnd w:id="119"/>
      <w:bookmarkEnd w:id="120"/>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21" w:name="_Toc192925666"/>
      <w:bookmarkStart w:id="122" w:name="_Toc27526"/>
      <w:bookmarkStart w:id="123" w:name="_Toc21362"/>
      <w:bookmarkStart w:id="124" w:name="_Toc191892318"/>
      <w:r>
        <w:rPr>
          <w:rFonts w:hint="eastAsia" w:ascii="仿宋" w:hAnsi="仿宋" w:eastAsia="仿宋"/>
          <w:color w:val="000000" w:themeColor="text1"/>
          <w:sz w:val="32"/>
          <w:highlight w:val="none"/>
          <w14:textFill>
            <w14:solidFill>
              <w14:schemeClr w14:val="tx1"/>
            </w14:solidFill>
          </w14:textFill>
        </w:rPr>
        <w:t>15．开标、评标时间</w:t>
      </w:r>
      <w:bookmarkEnd w:id="121"/>
      <w:bookmarkEnd w:id="122"/>
      <w:bookmarkEnd w:id="123"/>
      <w:bookmarkEnd w:id="124"/>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15.2招标人负责组建评标委员会，评标委员会负责评标工作。</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15.3本项目采用</w:t>
      </w:r>
      <w:r>
        <w:rPr>
          <w:rFonts w:hint="eastAsia" w:ascii="仿宋" w:hAnsi="仿宋" w:eastAsia="仿宋"/>
          <w:b w:val="0"/>
          <w:bCs w:val="0"/>
          <w:color w:val="000000" w:themeColor="text1"/>
          <w:sz w:val="32"/>
          <w:szCs w:val="32"/>
          <w:highlight w:val="none"/>
          <w:lang w:val="en-US" w:eastAsia="zh-CN"/>
          <w14:textFill>
            <w14:solidFill>
              <w14:schemeClr w14:val="tx1"/>
            </w14:solidFill>
          </w14:textFill>
        </w:rPr>
        <w:t>综合评分</w:t>
      </w:r>
      <w:r>
        <w:rPr>
          <w:rFonts w:hint="eastAsia" w:ascii="仿宋" w:hAnsi="仿宋" w:eastAsia="仿宋"/>
          <w:b w:val="0"/>
          <w:bCs w:val="0"/>
          <w:color w:val="000000" w:themeColor="text1"/>
          <w:sz w:val="32"/>
          <w:szCs w:val="32"/>
          <w:highlight w:val="none"/>
          <w14:textFill>
            <w14:solidFill>
              <w14:schemeClr w14:val="tx1"/>
            </w14:solidFill>
          </w14:textFill>
        </w:rPr>
        <w:t>法</w:t>
      </w:r>
      <w:r>
        <w:rPr>
          <w:rFonts w:hint="eastAsia" w:ascii="仿宋" w:hAnsi="仿宋" w:eastAsia="仿宋"/>
          <w:color w:val="000000" w:themeColor="text1"/>
          <w:sz w:val="32"/>
          <w:szCs w:val="32"/>
          <w:highlight w:val="none"/>
          <w14:textFill>
            <w14:solidFill>
              <w14:schemeClr w14:val="tx1"/>
            </w14:solidFill>
          </w14:textFill>
        </w:rPr>
        <w:t>评选方法评定，公司纪检人员进行监督。</w:t>
      </w:r>
    </w:p>
    <w:p>
      <w:pPr>
        <w:pStyle w:val="4"/>
        <w:keepNext w:val="0"/>
        <w:keepLines w:val="0"/>
        <w:spacing w:before="0" w:after="0" w:line="500" w:lineRule="exact"/>
        <w:ind w:firstLine="643" w:firstLineChars="200"/>
        <w:rPr>
          <w:rFonts w:hint="eastAsia" w:ascii="仿宋" w:hAnsi="仿宋" w:eastAsia="仿宋"/>
          <w:color w:val="000000" w:themeColor="text1"/>
          <w:sz w:val="32"/>
          <w:highlight w:val="none"/>
          <w14:textFill>
            <w14:solidFill>
              <w14:schemeClr w14:val="tx1"/>
            </w14:solidFill>
          </w14:textFill>
        </w:rPr>
      </w:pPr>
      <w:bookmarkStart w:id="125" w:name="_Toc27330"/>
      <w:bookmarkStart w:id="126" w:name="_Toc26462"/>
      <w:r>
        <w:rPr>
          <w:rFonts w:hint="eastAsia" w:ascii="仿宋" w:hAnsi="仿宋" w:eastAsia="仿宋"/>
          <w:color w:val="000000" w:themeColor="text1"/>
          <w:sz w:val="32"/>
          <w:highlight w:val="none"/>
          <w14:textFill>
            <w14:solidFill>
              <w14:schemeClr w14:val="tx1"/>
            </w14:solidFill>
          </w14:textFill>
        </w:rPr>
        <w:t>16．评标委员会</w:t>
      </w:r>
      <w:bookmarkEnd w:id="125"/>
      <w:bookmarkEnd w:id="126"/>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27" w:name="_Toc11845"/>
      <w:bookmarkStart w:id="128" w:name="_Toc191892320"/>
      <w:bookmarkStart w:id="129" w:name="_Toc192925668"/>
      <w:bookmarkStart w:id="130" w:name="_Toc30400"/>
      <w:r>
        <w:rPr>
          <w:rFonts w:hint="eastAsia" w:ascii="仿宋" w:hAnsi="仿宋" w:eastAsia="仿宋"/>
          <w:color w:val="000000" w:themeColor="text1"/>
          <w:sz w:val="32"/>
          <w:highlight w:val="none"/>
          <w14:textFill>
            <w14:solidFill>
              <w14:schemeClr w14:val="tx1"/>
            </w14:solidFill>
          </w14:textFill>
        </w:rPr>
        <w:t>17</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投标文件的初审</w:t>
      </w:r>
      <w:bookmarkEnd w:id="127"/>
      <w:bookmarkEnd w:id="128"/>
      <w:bookmarkEnd w:id="129"/>
      <w:bookmarkEnd w:id="130"/>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对所有投标人的评估，都采用相同的程序和标准。评议过程将严格按照招标文件的要求和条件进行。</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17.2 算术错误将按以下方法更正：</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17.3 资格性检查和符合性检查 </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17.3.</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实质性偏离是指：（</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）实质性影响合同的范围、质量和履行；（</w:t>
      </w:r>
      <w:r>
        <w:rPr>
          <w:rFonts w:ascii="仿宋" w:hAnsi="仿宋" w:eastAsia="仿宋"/>
          <w:color w:val="000000" w:themeColor="text1"/>
          <w:sz w:val="32"/>
          <w:szCs w:val="32"/>
          <w:highlight w:val="none"/>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）实质性违背招标文件，限制了招标人的权利和中标人合同项下的义务；（</w:t>
      </w: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）不公正地影响了其它作出实质性响应的投标人的竞争地位。</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对没有实质性响应的投标文件将不进行评估，其投标将被拒绝。</w:t>
      </w:r>
    </w:p>
    <w:p>
      <w:pPr>
        <w:spacing w:line="500" w:lineRule="exact"/>
        <w:ind w:firstLine="640"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凡有</w:t>
      </w:r>
      <w:r>
        <w:rPr>
          <w:rFonts w:hint="eastAsia" w:ascii="仿宋" w:hAnsi="仿宋" w:eastAsia="仿宋"/>
          <w:b/>
          <w:color w:val="000000" w:themeColor="text1"/>
          <w:sz w:val="32"/>
          <w:szCs w:val="32"/>
          <w:highlight w:val="none"/>
          <w14:textFill>
            <w14:solidFill>
              <w14:schemeClr w14:val="tx1"/>
            </w14:solidFill>
          </w14:textFill>
        </w:rPr>
        <w:t>下列情况之一</w:t>
      </w:r>
      <w:r>
        <w:rPr>
          <w:rFonts w:hint="eastAsia" w:ascii="仿宋" w:hAnsi="仿宋" w:eastAsia="仿宋"/>
          <w:color w:val="000000" w:themeColor="text1"/>
          <w:sz w:val="32"/>
          <w:szCs w:val="32"/>
          <w:highlight w:val="none"/>
          <w14:textFill>
            <w14:solidFill>
              <w14:schemeClr w14:val="tx1"/>
            </w14:solidFill>
          </w14:textFill>
        </w:rPr>
        <w:t>者，投标文件也将被视为</w:t>
      </w:r>
      <w:r>
        <w:rPr>
          <w:rFonts w:hint="eastAsia" w:ascii="仿宋" w:hAnsi="仿宋" w:eastAsia="仿宋"/>
          <w:b/>
          <w:color w:val="000000" w:themeColor="text1"/>
          <w:sz w:val="32"/>
          <w:szCs w:val="32"/>
          <w:highlight w:val="none"/>
          <w14:textFill>
            <w14:solidFill>
              <w14:schemeClr w14:val="tx1"/>
            </w14:solidFill>
          </w14:textFill>
        </w:rPr>
        <w:t>未实质性响应招标文件要求：</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 投标文件未按照本须知第14条的规定进行密封、标记的；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(3) 未按规定提交投标保证金的；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(4) 投标有效期不满足招标文件要求的；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(5) 投标内容与招标内容及要求有重大偏离或保留的；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(6) 投标人提交的是可选择的报价；</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(7) 投标人未按规定对投标进行分项报价；</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(8) 一个投标人对同一个合同包不止投一个标的；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(9) 投标文件组成不符合招标文件要求的；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(10) 投标文件中提供虚假或失实资料的；</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(11) 不符合招标文件中规定的</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32"/>
          <w:szCs w:val="32"/>
          <w:highlight w:val="none"/>
          <w14:textFill>
            <w14:solidFill>
              <w14:schemeClr w14:val="tx1"/>
            </w14:solidFill>
          </w14:textFill>
        </w:rPr>
        <w:t>号条款或其它实质性条款要求的。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投标人存在</w:t>
      </w:r>
      <w:r>
        <w:rPr>
          <w:rFonts w:hint="eastAsia" w:ascii="仿宋" w:hAnsi="仿宋" w:eastAsia="仿宋"/>
          <w:b/>
          <w:bCs/>
          <w:color w:val="000000" w:themeColor="text1"/>
          <w:sz w:val="32"/>
          <w:szCs w:val="32"/>
          <w:highlight w:val="none"/>
          <w14:textFill>
            <w14:solidFill>
              <w14:schemeClr w14:val="tx1"/>
            </w14:solidFill>
          </w14:textFill>
        </w:rPr>
        <w:t>下列情形之一</w:t>
      </w:r>
      <w:r>
        <w:rPr>
          <w:rFonts w:hint="eastAsia" w:ascii="仿宋" w:hAnsi="仿宋" w:eastAsia="仿宋"/>
          <w:color w:val="000000" w:themeColor="text1"/>
          <w:sz w:val="32"/>
          <w:szCs w:val="32"/>
          <w:highlight w:val="none"/>
          <w14:textFill>
            <w14:solidFill>
              <w14:schemeClr w14:val="tx1"/>
            </w14:solidFill>
          </w14:textFill>
        </w:rPr>
        <w:t>的，将被认定为</w:t>
      </w:r>
      <w:r>
        <w:rPr>
          <w:rFonts w:hint="eastAsia" w:ascii="仿宋" w:hAnsi="仿宋" w:eastAsia="仿宋"/>
          <w:b/>
          <w:bCs/>
          <w:color w:val="000000" w:themeColor="text1"/>
          <w:sz w:val="32"/>
          <w:szCs w:val="32"/>
          <w:highlight w:val="none"/>
          <w14:textFill>
            <w14:solidFill>
              <w14:schemeClr w14:val="tx1"/>
            </w14:solidFill>
          </w14:textFill>
        </w:rPr>
        <w:t>串通投标行为并作无效投标处理</w:t>
      </w: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（1）投标人之间协商投标报价等投标文件的实质性内容；</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（2）投标人之间约定中标供应商；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（3）投标人之间约定部分投标人放弃投标或者中标；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（4）属于同一集团、协会、商会等组织成员的投标人按照该组织要求协同投标；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（5）投标人之间为谋取中标或者排斥特定投标人而采取的其他联合行动；</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（6）不同投标人的投标文件由同一单位或者个人编制；</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（7）不同投标人委托同一单位或者个人办理投标事宜；</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（8）不同投标人的投标文件载明的项目管理成员为同一人；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（9）不同投标人的投标文件异常一致或者投标报价呈规律性差异；</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（10）不同投标人的投标文件相互混装；</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（11）不同投标人的投标保证金从同一单位或者个人的账户转出。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（12）不同投标人的投标文件错、漏之处一致或雷同，且不能合理解释的；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（13）不同的投标人的法定代表人、委托代理人等由同一个单位缴纳社会保险的；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（15）有关法律、法规或规章规定的其他串通投标行为。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31" w:name="_Toc17818"/>
      <w:bookmarkStart w:id="132" w:name="_Toc11339"/>
      <w:r>
        <w:rPr>
          <w:rFonts w:hint="eastAsia" w:ascii="仿宋" w:hAnsi="仿宋" w:eastAsia="仿宋"/>
          <w:color w:val="000000" w:themeColor="text1"/>
          <w:sz w:val="32"/>
          <w:highlight w:val="none"/>
          <w14:textFill>
            <w14:solidFill>
              <w14:schemeClr w14:val="tx1"/>
            </w14:solidFill>
          </w14:textFill>
        </w:rPr>
        <w:t>18.评标办法</w:t>
      </w:r>
      <w:bookmarkEnd w:id="131"/>
      <w:bookmarkEnd w:id="132"/>
    </w:p>
    <w:p>
      <w:pPr>
        <w:widowControl/>
        <w:adjustRightInd w:val="0"/>
        <w:snapToGrid w:val="0"/>
        <w:spacing w:before="60" w:beforeLines="25" w:after="60" w:afterLines="25"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本次招标采用</w:t>
      </w:r>
      <w:r>
        <w:rPr>
          <w:rFonts w:hint="eastAsia" w:ascii="仿宋" w:hAnsi="仿宋" w:eastAsia="仿宋"/>
          <w:b/>
          <w:color w:val="000000" w:themeColor="text1"/>
          <w:sz w:val="32"/>
          <w:szCs w:val="32"/>
          <w:highlight w:val="none"/>
          <w:lang w:val="en-US" w:eastAsia="zh-CN"/>
          <w14:textFill>
            <w14:solidFill>
              <w14:schemeClr w14:val="tx1"/>
            </w14:solidFill>
          </w14:textFill>
        </w:rPr>
        <w:t>综合评分</w:t>
      </w:r>
      <w:r>
        <w:rPr>
          <w:rFonts w:hint="eastAsia" w:ascii="仿宋" w:hAnsi="仿宋" w:eastAsia="仿宋"/>
          <w:b/>
          <w:color w:val="000000" w:themeColor="text1"/>
          <w:sz w:val="32"/>
          <w:szCs w:val="32"/>
          <w:highlight w:val="none"/>
          <w14:textFill>
            <w14:solidFill>
              <w14:schemeClr w14:val="tx1"/>
            </w14:solidFill>
          </w14:textFill>
        </w:rPr>
        <w:t>法评标。</w:t>
      </w:r>
    </w:p>
    <w:p>
      <w:pPr>
        <w:pStyle w:val="5"/>
        <w:snapToGrid w:val="0"/>
        <w:spacing w:line="500" w:lineRule="exact"/>
        <w:ind w:left="0" w:firstLine="643" w:firstLineChars="200"/>
        <w:rPr>
          <w:rFonts w:ascii="仿宋" w:hAnsi="仿宋" w:eastAsia="仿宋" w:cs="华文细黑"/>
          <w:b/>
          <w:color w:val="000000" w:themeColor="text1"/>
          <w:sz w:val="32"/>
          <w:szCs w:val="32"/>
          <w:highlight w:val="none"/>
          <w:lang w:eastAsia="zh-CN"/>
          <w14:textFill>
            <w14:solidFill>
              <w14:schemeClr w14:val="tx1"/>
            </w14:solidFill>
          </w14:textFill>
        </w:rPr>
      </w:pPr>
      <w:r>
        <w:rPr>
          <w:rFonts w:hint="eastAsia" w:ascii="仿宋" w:hAnsi="仿宋" w:eastAsia="仿宋" w:cs="华文细黑"/>
          <w:b/>
          <w:color w:val="000000" w:themeColor="text1"/>
          <w:sz w:val="32"/>
          <w:szCs w:val="32"/>
          <w:highlight w:val="none"/>
          <w:lang w:eastAsia="zh-CN"/>
          <w14:textFill>
            <w14:solidFill>
              <w14:schemeClr w14:val="tx1"/>
            </w14:solidFill>
          </w14:textFill>
        </w:rPr>
        <w:t>18.1具体的评标标准（评标办法）</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18.1.1初审合格（即资格性、符合性检查合格并按其他相关条款审查后）的投标人在三家以上（含三家）的，评标委员会将按以下评标方法与标准，对初审合格的投标文件进行商务和技术评估，综合比较与评价。</w:t>
      </w:r>
    </w:p>
    <w:p>
      <w:pPr>
        <w:spacing w:line="500" w:lineRule="exact"/>
        <w:ind w:firstLine="472" w:firstLineChars="147"/>
        <w:rPr>
          <w:rStyle w:val="19"/>
          <w:rFonts w:ascii="仿宋" w:hAnsi="仿宋" w:eastAsia="仿宋" w:cs="华文细黑"/>
          <w:color w:val="000000" w:themeColor="text1"/>
          <w:sz w:val="32"/>
          <w:szCs w:val="32"/>
          <w:highlight w:val="none"/>
          <w14:textFill>
            <w14:solidFill>
              <w14:schemeClr w14:val="tx1"/>
            </w14:solidFill>
          </w14:textFill>
        </w:rPr>
      </w:pPr>
      <w:r>
        <w:rPr>
          <w:rStyle w:val="19"/>
          <w:rFonts w:hint="eastAsia" w:ascii="仿宋" w:hAnsi="仿宋" w:eastAsia="仿宋" w:cs="华文细黑"/>
          <w:color w:val="000000" w:themeColor="text1"/>
          <w:sz w:val="32"/>
          <w:szCs w:val="32"/>
          <w:highlight w:val="none"/>
          <w14:textFill>
            <w14:solidFill>
              <w14:schemeClr w14:val="tx1"/>
            </w14:solidFill>
          </w14:textFill>
        </w:rPr>
        <w:t>（1）技术分F1（</w:t>
      </w:r>
      <w:r>
        <w:rPr>
          <w:rFonts w:hint="eastAsia" w:ascii="仿宋" w:hAnsi="仿宋" w:eastAsia="仿宋" w:cs="华文细黑"/>
          <w:b/>
          <w:color w:val="000000" w:themeColor="text1"/>
          <w:sz w:val="32"/>
          <w:szCs w:val="32"/>
          <w:highlight w:val="none"/>
          <w14:textFill>
            <w14:solidFill>
              <w14:schemeClr w14:val="tx1"/>
            </w14:solidFill>
          </w14:textFill>
        </w:rPr>
        <w:t>满分</w:t>
      </w:r>
      <w:r>
        <w:rPr>
          <w:rFonts w:hint="eastAsia" w:ascii="仿宋" w:hAnsi="仿宋" w:eastAsia="仿宋" w:cs="华文细黑"/>
          <w:color w:val="000000" w:themeColor="text1"/>
          <w:sz w:val="32"/>
          <w:szCs w:val="32"/>
          <w:highlight w:val="none"/>
          <w:lang w:val="en-US" w:eastAsia="zh-CN"/>
          <w14:textFill>
            <w14:solidFill>
              <w14:schemeClr w14:val="tx1"/>
            </w14:solidFill>
          </w14:textFill>
        </w:rPr>
        <w:t>45</w:t>
      </w:r>
      <w:r>
        <w:rPr>
          <w:rFonts w:hint="eastAsia" w:ascii="仿宋" w:hAnsi="仿宋" w:eastAsia="仿宋" w:cs="华文细黑"/>
          <w:b/>
          <w:color w:val="000000" w:themeColor="text1"/>
          <w:sz w:val="32"/>
          <w:szCs w:val="32"/>
          <w:highlight w:val="none"/>
          <w14:textFill>
            <w14:solidFill>
              <w14:schemeClr w14:val="tx1"/>
            </w14:solidFill>
          </w14:textFill>
        </w:rPr>
        <w:t>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hint="eastAsia" w:ascii="仿宋" w:hAnsi="仿宋" w:eastAsia="仿宋" w:cs="仿宋"/>
                <w:bCs/>
                <w:color w:val="000000" w:themeColor="text1"/>
                <w:kern w:val="10"/>
                <w:sz w:val="28"/>
                <w:szCs w:val="28"/>
                <w:highlight w:val="none"/>
                <w14:textFill>
                  <w14:solidFill>
                    <w14:schemeClr w14:val="tx1"/>
                  </w14:solidFill>
                </w14:textFill>
              </w:rPr>
            </w:pPr>
            <w:r>
              <w:rPr>
                <w:rFonts w:hint="eastAsia" w:ascii="仿宋" w:hAnsi="仿宋" w:eastAsia="仿宋" w:cs="仿宋"/>
                <w:bCs/>
                <w:color w:val="000000" w:themeColor="text1"/>
                <w:kern w:val="10"/>
                <w:sz w:val="28"/>
                <w:szCs w:val="28"/>
                <w:highlight w:val="none"/>
                <w14:textFill>
                  <w14:solidFill>
                    <w14:schemeClr w14:val="tx1"/>
                  </w14:solidFill>
                </w14:textFill>
              </w:rPr>
              <w:t>序号</w:t>
            </w:r>
          </w:p>
        </w:tc>
        <w:tc>
          <w:tcPr>
            <w:tcW w:w="1842" w:type="dxa"/>
            <w:vAlign w:val="center"/>
          </w:tcPr>
          <w:p>
            <w:pPr>
              <w:pStyle w:val="24"/>
              <w:autoSpaceDE/>
              <w:autoSpaceDN/>
              <w:adjustRightInd/>
              <w:spacing w:line="500" w:lineRule="exact"/>
              <w:rPr>
                <w:rFonts w:hint="eastAsia" w:ascii="仿宋" w:hAnsi="仿宋" w:eastAsia="仿宋" w:cs="仿宋"/>
                <w:bCs/>
                <w:color w:val="000000" w:themeColor="text1"/>
                <w:kern w:val="2"/>
                <w:sz w:val="28"/>
                <w:szCs w:val="28"/>
                <w:highlight w:val="none"/>
                <w14:textFill>
                  <w14:solidFill>
                    <w14:schemeClr w14:val="tx1"/>
                  </w14:solidFill>
                </w14:textFill>
              </w:rPr>
            </w:pPr>
            <w:r>
              <w:rPr>
                <w:rFonts w:hint="eastAsia" w:ascii="仿宋" w:hAnsi="仿宋" w:eastAsia="仿宋" w:cs="仿宋"/>
                <w:b/>
                <w:bCs/>
                <w:color w:val="000000" w:themeColor="text1"/>
                <w:kern w:val="2"/>
                <w:sz w:val="28"/>
                <w:szCs w:val="28"/>
                <w:highlight w:val="none"/>
                <w14:textFill>
                  <w14:solidFill>
                    <w14:schemeClr w14:val="tx1"/>
                  </w14:solidFill>
                </w14:textFill>
              </w:rPr>
              <w:t>评分项目</w:t>
            </w:r>
          </w:p>
        </w:tc>
        <w:tc>
          <w:tcPr>
            <w:tcW w:w="5245" w:type="dxa"/>
            <w:vAlign w:val="center"/>
          </w:tcPr>
          <w:p>
            <w:pPr>
              <w:pStyle w:val="24"/>
              <w:autoSpaceDE/>
              <w:autoSpaceDN/>
              <w:adjustRightInd/>
              <w:spacing w:line="500" w:lineRule="exact"/>
              <w:rPr>
                <w:rFonts w:hint="eastAsia" w:ascii="仿宋" w:hAnsi="仿宋" w:eastAsia="仿宋" w:cs="仿宋"/>
                <w:bCs/>
                <w:color w:val="000000" w:themeColor="text1"/>
                <w:kern w:val="2"/>
                <w:sz w:val="28"/>
                <w:szCs w:val="28"/>
                <w:highlight w:val="none"/>
                <w14:textFill>
                  <w14:solidFill>
                    <w14:schemeClr w14:val="tx1"/>
                  </w14:solidFill>
                </w14:textFill>
              </w:rPr>
            </w:pPr>
            <w:r>
              <w:rPr>
                <w:rFonts w:hint="eastAsia" w:ascii="仿宋" w:hAnsi="仿宋" w:eastAsia="仿宋" w:cs="仿宋"/>
                <w:bCs/>
                <w:color w:val="000000" w:themeColor="text1"/>
                <w:kern w:val="2"/>
                <w:sz w:val="28"/>
                <w:szCs w:val="28"/>
                <w:highlight w:val="none"/>
                <w14:textFill>
                  <w14:solidFill>
                    <w14:schemeClr w14:val="tx1"/>
                  </w14:solidFill>
                </w14:textFill>
              </w:rPr>
              <w:t>评分界定</w:t>
            </w:r>
          </w:p>
        </w:tc>
        <w:tc>
          <w:tcPr>
            <w:tcW w:w="1099" w:type="dxa"/>
            <w:vAlign w:val="center"/>
          </w:tcPr>
          <w:p>
            <w:pPr>
              <w:pStyle w:val="24"/>
              <w:autoSpaceDE/>
              <w:autoSpaceDN/>
              <w:adjustRightInd/>
              <w:spacing w:line="500" w:lineRule="exact"/>
              <w:rPr>
                <w:rFonts w:hint="eastAsia" w:ascii="仿宋" w:hAnsi="仿宋" w:eastAsia="仿宋" w:cs="仿宋"/>
                <w:bCs/>
                <w:color w:val="000000" w:themeColor="text1"/>
                <w:kern w:val="2"/>
                <w:sz w:val="28"/>
                <w:szCs w:val="28"/>
                <w:highlight w:val="none"/>
                <w14:textFill>
                  <w14:solidFill>
                    <w14:schemeClr w14:val="tx1"/>
                  </w14:solidFill>
                </w14:textFill>
              </w:rPr>
            </w:pPr>
            <w:r>
              <w:rPr>
                <w:rFonts w:hint="eastAsia" w:ascii="仿宋" w:hAnsi="仿宋" w:eastAsia="仿宋" w:cs="仿宋"/>
                <w:bCs/>
                <w:color w:val="000000" w:themeColor="text1"/>
                <w:kern w:val="2"/>
                <w:sz w:val="28"/>
                <w:szCs w:val="28"/>
                <w:highlight w:val="none"/>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1842" w:type="dxa"/>
            <w:vAlign w:val="center"/>
          </w:tcPr>
          <w:p>
            <w:pPr>
              <w:spacing w:line="500" w:lineRule="exact"/>
              <w:ind w:right="31" w:rightChars="15"/>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所投用智慧电箱监管平台的</w:t>
            </w:r>
            <w:r>
              <w:rPr>
                <w:rFonts w:hint="eastAsia" w:ascii="仿宋" w:hAnsi="仿宋" w:eastAsia="仿宋" w:cs="仿宋"/>
                <w:color w:val="000000" w:themeColor="text1"/>
                <w:sz w:val="28"/>
                <w:szCs w:val="28"/>
                <w:highlight w:val="none"/>
                <w14:textFill>
                  <w14:solidFill>
                    <w14:schemeClr w14:val="tx1"/>
                  </w14:solidFill>
                </w14:textFill>
              </w:rPr>
              <w:t>产品可靠性依据及相关保险</w:t>
            </w:r>
          </w:p>
        </w:tc>
        <w:tc>
          <w:tcPr>
            <w:tcW w:w="5245" w:type="dxa"/>
            <w:vAlign w:val="center"/>
          </w:tcPr>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hint="eastAsia" w:ascii="仿宋" w:hAnsi="仿宋" w:eastAsia="仿宋" w:cs="仿宋"/>
                <w:color w:val="000000" w:themeColor="text1"/>
                <w:sz w:val="28"/>
                <w:szCs w:val="28"/>
                <w:highlight w:val="none"/>
                <w:lang w:val="en-US" w:eastAsia="zh-CN"/>
                <w14:textFill>
                  <w14:solidFill>
                    <w14:schemeClr w14:val="tx1"/>
                  </w14:solidFill>
                </w14:textFill>
              </w:rPr>
              <w:t>智慧电箱所用系统</w:t>
            </w:r>
            <w:r>
              <w:rPr>
                <w:rFonts w:hint="eastAsia" w:ascii="仿宋" w:hAnsi="仿宋" w:eastAsia="仿宋" w:cs="仿宋"/>
                <w:color w:val="000000" w:themeColor="text1"/>
                <w:sz w:val="28"/>
                <w:szCs w:val="28"/>
                <w:highlight w:val="none"/>
                <w14:textFill>
                  <w14:solidFill>
                    <w14:schemeClr w14:val="tx1"/>
                  </w14:solidFill>
                </w14:textFill>
              </w:rPr>
              <w:t>具备中国合格评定国家认可委员会(CNAS)实验室认可资质的检测机构出具的软件测试报告，提供报告证明得3分，不提供不得分。</w:t>
            </w:r>
          </w:p>
          <w:p>
            <w:pPr>
              <w:pStyle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2.提供电气安全监测配电箱或用电安全监测模块的检测报告得3分，不提供不得分。</w:t>
            </w:r>
          </w:p>
          <w:p>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3.具备公安部网络安全等级测评报告，提供报告证明得3分，不提供不得分。</w:t>
            </w:r>
          </w:p>
          <w:p>
            <w:pPr>
              <w:tabs>
                <w:tab w:val="left" w:pos="0"/>
              </w:tabs>
              <w:spacing w:line="34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4.电箱内断路器是否为高质量高可靠性的国际知名品牌，如果为国际知名品牌或品牌史超过20年的国内品牌，提供对应的证明材料，提供证明得1分，不提供不得分。</w:t>
            </w:r>
          </w:p>
          <w:p>
            <w:pPr>
              <w:tabs>
                <w:tab w:val="left" w:pos="0"/>
              </w:tabs>
              <w:spacing w:line="34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5．所投产品是否具有向知名保险公司投保产品责任险，以提供产品产品责任险保单为依据，单款产品累计保单赔偿额度≥1000万得2分，＜1000万不得分。（原件备查）</w:t>
            </w:r>
          </w:p>
          <w:p>
            <w:pPr>
              <w:spacing w:line="500" w:lineRule="exact"/>
              <w:ind w:right="31" w:rightChars="15"/>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6.所投产品及服务是否具有国内大型会展项目的运维经验，产品及服务是否获得了展会主办方的认可和表彰，提供对应的证明材料，每提供1个得2分，本项最高得4分，不提供不得分。</w:t>
            </w:r>
          </w:p>
        </w:tc>
        <w:tc>
          <w:tcPr>
            <w:tcW w:w="1099"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满分</w:t>
            </w:r>
          </w:p>
          <w:p>
            <w:pPr>
              <w:adjustRightInd w:val="0"/>
              <w:snapToGrid w:val="0"/>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16</w:t>
            </w:r>
            <w:r>
              <w:rPr>
                <w:rFonts w:hint="eastAsia" w:ascii="仿宋" w:hAnsi="仿宋" w:eastAsia="仿宋" w:cs="仿宋"/>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p>
        </w:tc>
        <w:tc>
          <w:tcPr>
            <w:tcW w:w="1842" w:type="dxa"/>
            <w:vAlign w:val="center"/>
          </w:tcPr>
          <w:p>
            <w:pPr>
              <w:tabs>
                <w:tab w:val="left" w:pos="0"/>
              </w:tabs>
              <w:spacing w:line="340" w:lineRule="exact"/>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对所投用</w:t>
            </w:r>
            <w:r>
              <w:rPr>
                <w:rFonts w:hint="eastAsia" w:ascii="仿宋" w:hAnsi="仿宋" w:eastAsia="仿宋" w:cs="仿宋"/>
                <w:b w:val="0"/>
                <w:bCs/>
                <w:color w:val="000000" w:themeColor="text1"/>
                <w:sz w:val="28"/>
                <w:szCs w:val="28"/>
                <w:highlight w:val="none"/>
                <w14:textFill>
                  <w14:solidFill>
                    <w14:schemeClr w14:val="tx1"/>
                  </w14:solidFill>
                </w14:textFill>
              </w:rPr>
              <w:t>智慧电箱及监测云平台技术</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功能的承诺</w:t>
            </w:r>
          </w:p>
        </w:tc>
        <w:tc>
          <w:tcPr>
            <w:tcW w:w="5245" w:type="dxa"/>
            <w:vAlign w:val="center"/>
          </w:tcPr>
          <w:p>
            <w:pPr>
              <w:tabs>
                <w:tab w:val="left" w:pos="0"/>
              </w:tabs>
              <w:spacing w:line="34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根据招标</w:t>
            </w:r>
            <w:r>
              <w:rPr>
                <w:rFonts w:hint="eastAsia" w:ascii="仿宋" w:hAnsi="仿宋" w:eastAsia="仿宋" w:cs="仿宋"/>
                <w:color w:val="000000" w:themeColor="text1"/>
                <w:sz w:val="28"/>
                <w:szCs w:val="28"/>
                <w:highlight w:val="none"/>
                <w:lang w:val="en-US" w:eastAsia="zh-CN"/>
                <w14:textFill>
                  <w14:solidFill>
                    <w14:schemeClr w14:val="tx1"/>
                  </w14:solidFill>
                </w14:textFill>
              </w:rPr>
              <w:t>人对</w:t>
            </w:r>
            <w:r>
              <w:rPr>
                <w:rFonts w:hint="eastAsia" w:ascii="仿宋" w:hAnsi="仿宋" w:eastAsia="仿宋" w:cs="仿宋"/>
                <w:b w:val="0"/>
                <w:bCs/>
                <w:color w:val="000000" w:themeColor="text1"/>
                <w:sz w:val="28"/>
                <w:szCs w:val="28"/>
                <w:highlight w:val="none"/>
                <w14:textFill>
                  <w14:solidFill>
                    <w14:schemeClr w14:val="tx1"/>
                  </w14:solidFill>
                </w14:textFill>
              </w:rPr>
              <w:t>智慧电箱及监测云平台技术</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功能的承诺，投标人对该承诺盖章确认，每承诺一项可实现得0.5分。功能承诺内容详投标文件格式四，</w:t>
            </w:r>
            <w:r>
              <w:rPr>
                <w:rFonts w:hint="eastAsia" w:ascii="仿宋" w:hAnsi="仿宋" w:eastAsia="仿宋" w:cs="仿宋"/>
                <w:color w:val="000000" w:themeColor="text1"/>
                <w:sz w:val="28"/>
                <w:szCs w:val="28"/>
                <w:highlight w:val="none"/>
                <w14:textFill>
                  <w14:solidFill>
                    <w14:schemeClr w14:val="tx1"/>
                  </w14:solidFill>
                </w14:textFill>
              </w:rPr>
              <w:t>本项目最高得</w:t>
            </w: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4分。</w:t>
            </w:r>
          </w:p>
        </w:tc>
        <w:tc>
          <w:tcPr>
            <w:tcW w:w="1099"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满分</w:t>
            </w:r>
          </w:p>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14</w:t>
            </w:r>
            <w:r>
              <w:rPr>
                <w:rFonts w:hint="eastAsia" w:ascii="仿宋" w:hAnsi="仿宋" w:eastAsia="仿宋" w:cs="仿宋"/>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p>
        </w:tc>
        <w:tc>
          <w:tcPr>
            <w:tcW w:w="1842" w:type="dxa"/>
            <w:vAlign w:val="center"/>
          </w:tcPr>
          <w:p>
            <w:pPr>
              <w:tabs>
                <w:tab w:val="left" w:pos="0"/>
              </w:tabs>
              <w:spacing w:line="34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所投用监管平台</w:t>
            </w:r>
            <w:r>
              <w:rPr>
                <w:rFonts w:hint="eastAsia" w:ascii="仿宋" w:hAnsi="仿宋" w:eastAsia="仿宋" w:cs="仿宋"/>
                <w:color w:val="000000" w:themeColor="text1"/>
                <w:sz w:val="28"/>
                <w:szCs w:val="28"/>
                <w:highlight w:val="none"/>
                <w14:textFill>
                  <w14:solidFill>
                    <w14:schemeClr w14:val="tx1"/>
                  </w14:solidFill>
                </w14:textFill>
              </w:rPr>
              <w:t>系统建设方案</w:t>
            </w:r>
          </w:p>
        </w:tc>
        <w:tc>
          <w:tcPr>
            <w:tcW w:w="5245" w:type="dxa"/>
            <w:vAlign w:val="center"/>
          </w:tcPr>
          <w:p>
            <w:pPr>
              <w:tabs>
                <w:tab w:val="left" w:pos="0"/>
              </w:tabs>
              <w:spacing w:line="340" w:lineRule="exact"/>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根据本项目的情况，请各投标人写出的详细</w:t>
            </w:r>
            <w:r>
              <w:rPr>
                <w:rFonts w:hint="eastAsia" w:ascii="仿宋" w:hAnsi="仿宋" w:eastAsia="仿宋" w:cs="仿宋"/>
                <w:color w:val="000000" w:themeColor="text1"/>
                <w:sz w:val="28"/>
                <w:szCs w:val="28"/>
                <w:highlight w:val="none"/>
                <w:lang w:val="en-US" w:eastAsia="zh-CN"/>
                <w14:textFill>
                  <w14:solidFill>
                    <w14:schemeClr w14:val="tx1"/>
                  </w14:solidFill>
                </w14:textFill>
              </w:rPr>
              <w:t>监测平台</w:t>
            </w:r>
            <w:r>
              <w:rPr>
                <w:rFonts w:hint="eastAsia" w:ascii="仿宋" w:hAnsi="仿宋" w:eastAsia="仿宋" w:cs="仿宋"/>
                <w:color w:val="000000" w:themeColor="text1"/>
                <w:sz w:val="28"/>
                <w:szCs w:val="28"/>
                <w:highlight w:val="none"/>
                <w14:textFill>
                  <w14:solidFill>
                    <w14:schemeClr w14:val="tx1"/>
                  </w14:solidFill>
                </w14:textFill>
              </w:rPr>
              <w:t>系统建设方案，包括软件功能，系统框架等。</w:t>
            </w:r>
            <w:r>
              <w:rPr>
                <w:rFonts w:hint="eastAsia" w:ascii="仿宋" w:hAnsi="仿宋" w:eastAsia="仿宋" w:cs="仿宋"/>
                <w:color w:val="000000" w:themeColor="text1"/>
                <w:sz w:val="28"/>
                <w:szCs w:val="28"/>
                <w:highlight w:val="none"/>
                <w:lang w:val="en-US" w:eastAsia="zh-CN"/>
                <w14:textFill>
                  <w14:solidFill>
                    <w14:schemeClr w14:val="tx1"/>
                  </w14:solidFill>
                </w14:textFill>
              </w:rPr>
              <w:t>系统建设方案最全面得4分，基本全面得3分，一般得2分，未提供不得分。</w:t>
            </w:r>
            <w:r>
              <w:rPr>
                <w:rFonts w:hint="eastAsia" w:ascii="仿宋" w:hAnsi="仿宋" w:eastAsia="仿宋" w:cs="仿宋"/>
                <w:color w:val="000000" w:themeColor="text1"/>
                <w:sz w:val="28"/>
                <w:szCs w:val="28"/>
                <w:highlight w:val="none"/>
                <w14:textFill>
                  <w14:solidFill>
                    <w14:schemeClr w14:val="tx1"/>
                  </w14:solidFill>
                </w14:textFill>
              </w:rPr>
              <w:t>本项最高得</w:t>
            </w: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t>分。</w:t>
            </w:r>
          </w:p>
        </w:tc>
        <w:tc>
          <w:tcPr>
            <w:tcW w:w="1099"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满分</w:t>
            </w:r>
          </w:p>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p>
        </w:tc>
        <w:tc>
          <w:tcPr>
            <w:tcW w:w="1842" w:type="dxa"/>
            <w:vAlign w:val="center"/>
          </w:tcPr>
          <w:p>
            <w:pPr>
              <w:spacing w:line="500" w:lineRule="exact"/>
              <w:ind w:right="31" w:rightChars="15"/>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项目服务方案及履约能力</w:t>
            </w:r>
          </w:p>
        </w:tc>
        <w:tc>
          <w:tcPr>
            <w:tcW w:w="5245" w:type="dxa"/>
            <w:vAlign w:val="center"/>
          </w:tcPr>
          <w:p>
            <w:pPr>
              <w:tabs>
                <w:tab w:val="left" w:pos="0"/>
              </w:tabs>
              <w:spacing w:line="340" w:lineRule="exact"/>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1.项目实施方案：</w:t>
            </w:r>
          </w:p>
          <w:p>
            <w:pPr>
              <w:tabs>
                <w:tab w:val="left" w:pos="0"/>
              </w:tabs>
              <w:spacing w:line="340" w:lineRule="exact"/>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1、有详细的展会临时安全配电人员分工方案；2、有操作性强的配电接驳实施计划；3、有详细的电气安全监测配电箱及物料管理方案；4、有可行的现场电气安全管理应急处置计划。</w:t>
            </w:r>
            <w:r>
              <w:rPr>
                <w:rFonts w:hint="eastAsia" w:ascii="仿宋" w:hAnsi="仿宋" w:eastAsia="仿宋" w:cs="仿宋"/>
                <w:color w:val="000000" w:themeColor="text1"/>
                <w:sz w:val="28"/>
                <w:szCs w:val="28"/>
                <w:highlight w:val="none"/>
                <w:lang w:val="en-US" w:eastAsia="zh-CN"/>
                <w14:textFill>
                  <w14:solidFill>
                    <w14:schemeClr w14:val="tx1"/>
                  </w14:solidFill>
                </w14:textFill>
              </w:rPr>
              <w:t>每缺1小项扣1分，</w:t>
            </w:r>
            <w:r>
              <w:rPr>
                <w:rFonts w:hint="eastAsia" w:ascii="仿宋" w:hAnsi="仿宋" w:eastAsia="仿宋" w:cs="仿宋"/>
                <w:color w:val="000000" w:themeColor="text1"/>
                <w:sz w:val="28"/>
                <w:szCs w:val="28"/>
                <w:highlight w:val="none"/>
                <w14:textFill>
                  <w14:solidFill>
                    <w14:schemeClr w14:val="tx1"/>
                  </w14:solidFill>
                </w14:textFill>
              </w:rPr>
              <w:t>本项4分。</w:t>
            </w:r>
          </w:p>
          <w:p>
            <w:pPr>
              <w:tabs>
                <w:tab w:val="left" w:pos="0"/>
              </w:tabs>
              <w:spacing w:line="340" w:lineRule="exact"/>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2.服务质量管理：</w:t>
            </w:r>
          </w:p>
          <w:p>
            <w:pPr>
              <w:spacing w:line="500" w:lineRule="exact"/>
              <w:ind w:right="31" w:rightChars="15"/>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1、服务人员配置清单；2、分工职责；3、人员管理制度；4、人员资质；5、施工安全保障方案；6、应急预案；7、服务响应方案（含现场配电响应和电气报警处理时间）。</w:t>
            </w:r>
            <w:r>
              <w:rPr>
                <w:rFonts w:hint="eastAsia" w:ascii="仿宋" w:hAnsi="仿宋" w:eastAsia="仿宋" w:cs="仿宋"/>
                <w:color w:val="000000" w:themeColor="text1"/>
                <w:sz w:val="28"/>
                <w:szCs w:val="28"/>
                <w:highlight w:val="none"/>
                <w:lang w:val="en-US" w:eastAsia="zh-CN"/>
                <w14:textFill>
                  <w14:solidFill>
                    <w14:schemeClr w14:val="tx1"/>
                  </w14:solidFill>
                </w14:textFill>
              </w:rPr>
              <w:t>每缺1小项扣1分，</w:t>
            </w:r>
            <w:r>
              <w:rPr>
                <w:rFonts w:hint="eastAsia" w:ascii="仿宋" w:hAnsi="仿宋" w:eastAsia="仿宋" w:cs="仿宋"/>
                <w:color w:val="000000" w:themeColor="text1"/>
                <w:sz w:val="28"/>
                <w:szCs w:val="28"/>
                <w:highlight w:val="none"/>
                <w14:textFill>
                  <w14:solidFill>
                    <w14:schemeClr w14:val="tx1"/>
                  </w14:solidFill>
                </w14:textFill>
              </w:rPr>
              <w:t>本项</w:t>
            </w:r>
            <w:r>
              <w:rPr>
                <w:rFonts w:hint="eastAsia" w:ascii="仿宋" w:hAnsi="仿宋" w:eastAsia="仿宋" w:cs="仿宋"/>
                <w:color w:val="000000" w:themeColor="text1"/>
                <w:sz w:val="28"/>
                <w:szCs w:val="28"/>
                <w:highlight w:val="none"/>
                <w:lang w:val="en-US" w:eastAsia="zh-CN"/>
                <w14:textFill>
                  <w14:solidFill>
                    <w14:schemeClr w14:val="tx1"/>
                  </w14:solidFill>
                </w14:textFill>
              </w:rPr>
              <w:t>共7</w:t>
            </w:r>
            <w:r>
              <w:rPr>
                <w:rFonts w:hint="eastAsia" w:ascii="仿宋" w:hAnsi="仿宋" w:eastAsia="仿宋" w:cs="仿宋"/>
                <w:color w:val="000000" w:themeColor="text1"/>
                <w:sz w:val="28"/>
                <w:szCs w:val="28"/>
                <w:highlight w:val="none"/>
                <w14:textFill>
                  <w14:solidFill>
                    <w14:schemeClr w14:val="tx1"/>
                  </w14:solidFill>
                </w14:textFill>
              </w:rPr>
              <w:t>分。</w:t>
            </w:r>
          </w:p>
        </w:tc>
        <w:tc>
          <w:tcPr>
            <w:tcW w:w="1099"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满分</w:t>
            </w:r>
          </w:p>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11</w:t>
            </w:r>
            <w:r>
              <w:rPr>
                <w:rFonts w:hint="eastAsia" w:ascii="仿宋" w:hAnsi="仿宋" w:eastAsia="仿宋" w:cs="仿宋"/>
                <w:color w:val="000000" w:themeColor="text1"/>
                <w:sz w:val="28"/>
                <w:szCs w:val="28"/>
                <w:highlight w:val="none"/>
                <w14:textFill>
                  <w14:solidFill>
                    <w14:schemeClr w14:val="tx1"/>
                  </w14:solidFill>
                </w14:textFill>
              </w:rPr>
              <w:t>分</w:t>
            </w:r>
          </w:p>
        </w:tc>
      </w:tr>
    </w:tbl>
    <w:p>
      <w:pPr>
        <w:spacing w:before="120" w:beforeLines="50" w:after="120" w:afterLines="50" w:line="500" w:lineRule="exact"/>
        <w:ind w:right="-78"/>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（2）商务分F2（满分</w:t>
      </w:r>
      <w:r>
        <w:rPr>
          <w:rFonts w:hint="eastAsia" w:ascii="仿宋" w:hAnsi="仿宋" w:eastAsia="仿宋" w:cs="仿宋"/>
          <w:b/>
          <w:color w:val="000000" w:themeColor="text1"/>
          <w:sz w:val="28"/>
          <w:szCs w:val="28"/>
          <w:highlight w:val="none"/>
          <w:lang w:val="en-US" w:eastAsia="zh-CN"/>
          <w14:textFill>
            <w14:solidFill>
              <w14:schemeClr w14:val="tx1"/>
            </w14:solidFill>
          </w14:textFill>
        </w:rPr>
        <w:t>3</w:t>
      </w:r>
      <w:r>
        <w:rPr>
          <w:rFonts w:hint="eastAsia" w:ascii="仿宋" w:hAnsi="仿宋" w:eastAsia="仿宋" w:cs="仿宋"/>
          <w:b/>
          <w:color w:val="000000" w:themeColor="text1"/>
          <w:sz w:val="28"/>
          <w:szCs w:val="28"/>
          <w:highlight w:val="none"/>
          <w14:textFill>
            <w14:solidFill>
              <w14:schemeClr w14:val="tx1"/>
            </w14:solidFill>
          </w14:textFill>
        </w:rPr>
        <w:t>0分）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hint="eastAsia" w:ascii="仿宋" w:hAnsi="仿宋" w:eastAsia="仿宋" w:cs="仿宋"/>
                <w:bCs/>
                <w:color w:val="000000" w:themeColor="text1"/>
                <w:kern w:val="10"/>
                <w:sz w:val="28"/>
                <w:szCs w:val="28"/>
                <w:highlight w:val="none"/>
                <w14:textFill>
                  <w14:solidFill>
                    <w14:schemeClr w14:val="tx1"/>
                  </w14:solidFill>
                </w14:textFill>
              </w:rPr>
            </w:pPr>
            <w:r>
              <w:rPr>
                <w:rFonts w:hint="eastAsia" w:ascii="仿宋" w:hAnsi="仿宋" w:eastAsia="仿宋" w:cs="仿宋"/>
                <w:bCs/>
                <w:color w:val="000000" w:themeColor="text1"/>
                <w:kern w:val="10"/>
                <w:sz w:val="28"/>
                <w:szCs w:val="28"/>
                <w:highlight w:val="none"/>
                <w14:textFill>
                  <w14:solidFill>
                    <w14:schemeClr w14:val="tx1"/>
                  </w14:solidFill>
                </w14:textFill>
              </w:rPr>
              <w:t>序号</w:t>
            </w:r>
          </w:p>
        </w:tc>
        <w:tc>
          <w:tcPr>
            <w:tcW w:w="1842" w:type="dxa"/>
            <w:vAlign w:val="center"/>
          </w:tcPr>
          <w:p>
            <w:pPr>
              <w:pStyle w:val="24"/>
              <w:autoSpaceDE/>
              <w:autoSpaceDN/>
              <w:adjustRightInd/>
              <w:spacing w:line="500" w:lineRule="exact"/>
              <w:rPr>
                <w:rFonts w:hint="eastAsia" w:ascii="仿宋" w:hAnsi="仿宋" w:eastAsia="仿宋" w:cs="仿宋"/>
                <w:bCs/>
                <w:color w:val="000000" w:themeColor="text1"/>
                <w:kern w:val="2"/>
                <w:sz w:val="28"/>
                <w:szCs w:val="28"/>
                <w:highlight w:val="none"/>
                <w14:textFill>
                  <w14:solidFill>
                    <w14:schemeClr w14:val="tx1"/>
                  </w14:solidFill>
                </w14:textFill>
              </w:rPr>
            </w:pPr>
            <w:r>
              <w:rPr>
                <w:rFonts w:hint="eastAsia" w:ascii="仿宋" w:hAnsi="仿宋" w:eastAsia="仿宋" w:cs="仿宋"/>
                <w:bCs/>
                <w:color w:val="000000" w:themeColor="text1"/>
                <w:kern w:val="2"/>
                <w:sz w:val="28"/>
                <w:szCs w:val="28"/>
                <w:highlight w:val="none"/>
                <w14:textFill>
                  <w14:solidFill>
                    <w14:schemeClr w14:val="tx1"/>
                  </w14:solidFill>
                </w14:textFill>
              </w:rPr>
              <w:t>评分项目</w:t>
            </w:r>
          </w:p>
        </w:tc>
        <w:tc>
          <w:tcPr>
            <w:tcW w:w="5245" w:type="dxa"/>
            <w:vAlign w:val="center"/>
          </w:tcPr>
          <w:p>
            <w:pPr>
              <w:pStyle w:val="24"/>
              <w:autoSpaceDE/>
              <w:autoSpaceDN/>
              <w:adjustRightInd/>
              <w:spacing w:line="500" w:lineRule="exact"/>
              <w:rPr>
                <w:rFonts w:hint="eastAsia" w:ascii="仿宋" w:hAnsi="仿宋" w:eastAsia="仿宋" w:cs="仿宋"/>
                <w:bCs/>
                <w:color w:val="000000" w:themeColor="text1"/>
                <w:kern w:val="2"/>
                <w:sz w:val="28"/>
                <w:szCs w:val="28"/>
                <w:highlight w:val="none"/>
                <w14:textFill>
                  <w14:solidFill>
                    <w14:schemeClr w14:val="tx1"/>
                  </w14:solidFill>
                </w14:textFill>
              </w:rPr>
            </w:pPr>
            <w:r>
              <w:rPr>
                <w:rFonts w:hint="eastAsia" w:ascii="仿宋" w:hAnsi="仿宋" w:eastAsia="仿宋" w:cs="仿宋"/>
                <w:bCs/>
                <w:color w:val="000000" w:themeColor="text1"/>
                <w:kern w:val="2"/>
                <w:sz w:val="28"/>
                <w:szCs w:val="28"/>
                <w:highlight w:val="none"/>
                <w14:textFill>
                  <w14:solidFill>
                    <w14:schemeClr w14:val="tx1"/>
                  </w14:solidFill>
                </w14:textFill>
              </w:rPr>
              <w:t>评分界定</w:t>
            </w:r>
          </w:p>
        </w:tc>
        <w:tc>
          <w:tcPr>
            <w:tcW w:w="1099" w:type="dxa"/>
            <w:vAlign w:val="center"/>
          </w:tcPr>
          <w:p>
            <w:pPr>
              <w:pStyle w:val="24"/>
              <w:autoSpaceDE/>
              <w:autoSpaceDN/>
              <w:adjustRightInd/>
              <w:spacing w:line="500" w:lineRule="exact"/>
              <w:rPr>
                <w:rFonts w:hint="eastAsia" w:ascii="仿宋" w:hAnsi="仿宋" w:eastAsia="仿宋" w:cs="仿宋"/>
                <w:bCs/>
                <w:color w:val="000000" w:themeColor="text1"/>
                <w:kern w:val="2"/>
                <w:sz w:val="28"/>
                <w:szCs w:val="28"/>
                <w:highlight w:val="none"/>
                <w14:textFill>
                  <w14:solidFill>
                    <w14:schemeClr w14:val="tx1"/>
                  </w14:solidFill>
                </w14:textFill>
              </w:rPr>
            </w:pPr>
            <w:r>
              <w:rPr>
                <w:rFonts w:hint="eastAsia" w:ascii="仿宋" w:hAnsi="仿宋" w:eastAsia="仿宋" w:cs="仿宋"/>
                <w:bCs/>
                <w:color w:val="000000" w:themeColor="text1"/>
                <w:kern w:val="2"/>
                <w:sz w:val="28"/>
                <w:szCs w:val="28"/>
                <w:highlight w:val="none"/>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p>
        </w:tc>
        <w:tc>
          <w:tcPr>
            <w:tcW w:w="1842" w:type="dxa"/>
            <w:vAlign w:val="center"/>
          </w:tcPr>
          <w:p>
            <w:pPr>
              <w:spacing w:line="500" w:lineRule="exact"/>
              <w:ind w:right="31" w:rightChars="15"/>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企业资质</w:t>
            </w:r>
          </w:p>
        </w:tc>
        <w:tc>
          <w:tcPr>
            <w:tcW w:w="5245" w:type="dxa"/>
            <w:vAlign w:val="center"/>
          </w:tcPr>
          <w:p>
            <w:pPr>
              <w:tabs>
                <w:tab w:val="left" w:pos="0"/>
              </w:tabs>
              <w:spacing w:line="34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1.具有高新技术企业证书得1分，原件备查。</w:t>
            </w:r>
          </w:p>
          <w:p>
            <w:pPr>
              <w:tabs>
                <w:tab w:val="left" w:pos="0"/>
              </w:tabs>
              <w:spacing w:line="34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2.投标人具有有效期内质量管理体系、环境管理体系、职业健康安全管理体系、信息安全管理体系。提供一项得1</w:t>
            </w:r>
            <w:r>
              <w:rPr>
                <w:rFonts w:hint="eastAsia" w:ascii="仿宋" w:hAnsi="仿宋" w:eastAsia="仿宋" w:cs="仿宋"/>
                <w:color w:val="000000" w:themeColor="text1"/>
                <w:sz w:val="28"/>
                <w:szCs w:val="28"/>
                <w:highlight w:val="none"/>
                <w14:textFill>
                  <w14:solidFill>
                    <w14:schemeClr w14:val="tx1"/>
                  </w14:solidFill>
                </w14:textFill>
              </w:rPr>
              <w:t>分</w:t>
            </w:r>
            <w:r>
              <w:rPr>
                <w:rFonts w:hint="eastAsia" w:ascii="仿宋" w:hAnsi="仿宋" w:eastAsia="仿宋" w:cs="仿宋"/>
                <w:color w:val="000000" w:themeColor="text1"/>
                <w:kern w:val="0"/>
                <w:sz w:val="28"/>
                <w:szCs w:val="28"/>
                <w:highlight w:val="none"/>
                <w14:textFill>
                  <w14:solidFill>
                    <w14:schemeClr w14:val="tx1"/>
                  </w14:solidFill>
                </w14:textFill>
              </w:rPr>
              <w:t>，最高4分，不提供不得分。</w:t>
            </w:r>
          </w:p>
          <w:p>
            <w:pPr>
              <w:pStyle w:val="9"/>
              <w:rPr>
                <w:rFonts w:hint="eastAsia" w:ascii="仿宋" w:hAnsi="仿宋" w:eastAsia="仿宋" w:cs="仿宋"/>
                <w:color w:val="000000" w:themeColor="text1"/>
                <w:kern w:val="2"/>
                <w:sz w:val="28"/>
                <w:szCs w:val="28"/>
                <w:highlight w:val="none"/>
                <w:lang w:eastAsia="zh-CN"/>
                <w14:textFill>
                  <w14:solidFill>
                    <w14:schemeClr w14:val="tx1"/>
                  </w14:solidFill>
                </w14:textFill>
              </w:rPr>
            </w:pPr>
            <w:r>
              <w:rPr>
                <w:rFonts w:hint="eastAsia" w:ascii="仿宋" w:hAnsi="仿宋" w:eastAsia="仿宋" w:cs="仿宋"/>
                <w:color w:val="000000" w:themeColor="text1"/>
                <w:kern w:val="2"/>
                <w:sz w:val="28"/>
                <w:szCs w:val="28"/>
                <w:highlight w:val="none"/>
                <w14:textFill>
                  <w14:solidFill>
                    <w14:schemeClr w14:val="tx1"/>
                  </w14:solidFill>
                </w14:textFill>
              </w:rPr>
              <w:t>3.具有安防工程企业资质证书得2分</w:t>
            </w:r>
            <w:r>
              <w:rPr>
                <w:rFonts w:hint="eastAsia" w:ascii="仿宋" w:hAnsi="仿宋" w:eastAsia="仿宋" w:cs="仿宋"/>
                <w:color w:val="000000" w:themeColor="text1"/>
                <w:kern w:val="2"/>
                <w:sz w:val="28"/>
                <w:szCs w:val="28"/>
                <w:highlight w:val="none"/>
                <w:lang w:eastAsia="zh-CN"/>
                <w14:textFill>
                  <w14:solidFill>
                    <w14:schemeClr w14:val="tx1"/>
                  </w14:solidFill>
                </w14:textFill>
              </w:rPr>
              <w:t>。</w:t>
            </w:r>
          </w:p>
          <w:p>
            <w:pPr>
              <w:pStyle w:val="9"/>
              <w:rPr>
                <w:rFonts w:hint="eastAsia" w:ascii="仿宋" w:hAnsi="仿宋" w:eastAsia="仿宋" w:cs="仿宋"/>
                <w:color w:val="000000" w:themeColor="text1"/>
                <w:kern w:val="2"/>
                <w:sz w:val="28"/>
                <w:szCs w:val="28"/>
                <w:highlight w:val="none"/>
                <w:lang w:eastAsia="zh-CN"/>
                <w14:textFill>
                  <w14:solidFill>
                    <w14:schemeClr w14:val="tx1"/>
                  </w14:solidFill>
                </w14:textFill>
              </w:rPr>
            </w:pPr>
            <w:r>
              <w:rPr>
                <w:rFonts w:hint="eastAsia" w:ascii="仿宋" w:hAnsi="仿宋" w:eastAsia="仿宋" w:cs="仿宋"/>
                <w:color w:val="000000" w:themeColor="text1"/>
                <w:kern w:val="2"/>
                <w:sz w:val="28"/>
                <w:szCs w:val="28"/>
                <w:highlight w:val="none"/>
                <w14:textFill>
                  <w14:solidFill>
                    <w14:schemeClr w14:val="tx1"/>
                  </w14:solidFill>
                </w14:textFill>
              </w:rPr>
              <w:t>4.具有建筑业企业资质证书得1分</w:t>
            </w:r>
            <w:r>
              <w:rPr>
                <w:rFonts w:hint="eastAsia" w:ascii="仿宋" w:hAnsi="仿宋" w:eastAsia="仿宋" w:cs="仿宋"/>
                <w:color w:val="000000" w:themeColor="text1"/>
                <w:kern w:val="2"/>
                <w:sz w:val="28"/>
                <w:szCs w:val="28"/>
                <w:highlight w:val="none"/>
                <w:lang w:eastAsia="zh-CN"/>
                <w14:textFill>
                  <w14:solidFill>
                    <w14:schemeClr w14:val="tx1"/>
                  </w14:solidFill>
                </w14:textFill>
              </w:rPr>
              <w:t>。</w:t>
            </w:r>
          </w:p>
          <w:p>
            <w:pPr>
              <w:tabs>
                <w:tab w:val="left" w:pos="0"/>
              </w:tabs>
              <w:spacing w:line="340" w:lineRule="exact"/>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4.参与过电气火灾相关国标编制得2分</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tabs>
                <w:tab w:val="left" w:pos="0"/>
              </w:tabs>
              <w:spacing w:line="34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5.参与电气火灾地标编制得2分。</w:t>
            </w:r>
          </w:p>
          <w:p>
            <w:pPr>
              <w:spacing w:line="500" w:lineRule="exact"/>
              <w:ind w:right="31" w:rightChars="15"/>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以上证书需提供原件的扫描件，加盖单位公章。</w:t>
            </w:r>
          </w:p>
        </w:tc>
        <w:tc>
          <w:tcPr>
            <w:tcW w:w="1099"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满分</w:t>
            </w:r>
          </w:p>
          <w:p>
            <w:pPr>
              <w:adjustRightInd w:val="0"/>
              <w:snapToGrid w:val="0"/>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12</w:t>
            </w:r>
            <w:r>
              <w:rPr>
                <w:rFonts w:hint="eastAsia" w:ascii="仿宋" w:hAnsi="仿宋" w:eastAsia="仿宋" w:cs="仿宋"/>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p>
        </w:tc>
        <w:tc>
          <w:tcPr>
            <w:tcW w:w="1842" w:type="dxa"/>
            <w:vAlign w:val="center"/>
          </w:tcPr>
          <w:p>
            <w:pPr>
              <w:widowControl/>
              <w:jc w:val="center"/>
              <w:textAlignment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同类项目业绩</w:t>
            </w:r>
          </w:p>
        </w:tc>
        <w:tc>
          <w:tcPr>
            <w:tcW w:w="5245" w:type="dxa"/>
            <w:vAlign w:val="center"/>
          </w:tcPr>
          <w:p>
            <w:pPr>
              <w:widowControl/>
              <w:jc w:val="left"/>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本项目要求投标人具备同类项目经验，投标人自2019年1月1日以来至投标截止之日(以签订合同(协议)时间为准)具有本项目同类市级展会电气安全监测配电箱服务或者智能化、智慧化配电服务项目业绩的，在至少提供3份业绩合同基础上，每增加1个项目业绩得2分，最高得10分，同一项目续签合同不重复计算，没有提供或者不能有效证明的不得分。</w:t>
            </w:r>
          </w:p>
          <w:p>
            <w:pPr>
              <w:spacing w:line="500" w:lineRule="exact"/>
              <w:ind w:right="31" w:rightChars="15"/>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证明文件:投标人必须提供项目合同关键页(含签订合同双方的单位名称、合同项目名称、签订合同双方的落款盖章、签订日期的关键页)扫描件。如未按要求提供证明材料，或所提供的证明材料未能体现上述评分内容的，视为该证明材料无效。</w:t>
            </w:r>
          </w:p>
        </w:tc>
        <w:tc>
          <w:tcPr>
            <w:tcW w:w="1099"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满分</w:t>
            </w:r>
          </w:p>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10</w:t>
            </w:r>
            <w:r>
              <w:rPr>
                <w:rFonts w:hint="eastAsia" w:ascii="仿宋" w:hAnsi="仿宋" w:eastAsia="仿宋" w:cs="仿宋"/>
                <w:color w:val="000000" w:themeColor="text1"/>
                <w:sz w:val="28"/>
                <w:szCs w:val="28"/>
                <w:highlight w:val="none"/>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p>
        </w:tc>
        <w:tc>
          <w:tcPr>
            <w:tcW w:w="1842" w:type="dxa"/>
            <w:vAlign w:val="center"/>
          </w:tcPr>
          <w:p>
            <w:pPr>
              <w:spacing w:line="500" w:lineRule="exact"/>
              <w:ind w:right="31" w:rightChars="15"/>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服务团队</w:t>
            </w:r>
          </w:p>
        </w:tc>
        <w:tc>
          <w:tcPr>
            <w:tcW w:w="5245" w:type="dxa"/>
            <w:vAlign w:val="center"/>
          </w:tcPr>
          <w:p>
            <w:pPr>
              <w:widowControl/>
              <w:jc w:val="left"/>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为确保本项目保质、保量、保时的完成配电及电气安全监管服务，对于服务团队要求高，投标人需具备完善的服务团队人员：</w:t>
            </w:r>
          </w:p>
          <w:p>
            <w:pPr>
              <w:widowControl/>
              <w:jc w:val="left"/>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 xml:space="preserve">1.投标人拟派项目团队人员具有有效期内的电工特种作业操作，在 10人的基础上，每增加 1 人得 2分，本项最高得 </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8</w:t>
            </w:r>
            <w:r>
              <w:rPr>
                <w:rFonts w:hint="eastAsia" w:ascii="仿宋" w:hAnsi="仿宋" w:eastAsia="仿宋" w:cs="仿宋"/>
                <w:color w:val="000000" w:themeColor="text1"/>
                <w:kern w:val="0"/>
                <w:sz w:val="28"/>
                <w:szCs w:val="28"/>
                <w:highlight w:val="none"/>
                <w14:textFill>
                  <w14:solidFill>
                    <w14:schemeClr w14:val="tx1"/>
                  </w14:solidFill>
                </w14:textFill>
              </w:rPr>
              <w:t xml:space="preserve">分。10人及以下不予得分。 </w:t>
            </w:r>
          </w:p>
          <w:p>
            <w:pPr>
              <w:widowControl/>
              <w:jc w:val="left"/>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注：</w:t>
            </w:r>
          </w:p>
          <w:p>
            <w:pPr>
              <w:widowControl/>
              <w:jc w:val="left"/>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 xml:space="preserve">1、团队人员须为本单位在职人员，须提供近3月以来在本单位的社保证明。 </w:t>
            </w:r>
          </w:p>
          <w:p>
            <w:pPr>
              <w:widowControl/>
              <w:jc w:val="left"/>
              <w:textAlignment w:val="center"/>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2、评标时须提供证书原件核验，投标文件附与原件一致的复印件，否则不得分。</w:t>
            </w:r>
          </w:p>
          <w:p>
            <w:pPr>
              <w:spacing w:line="500" w:lineRule="exact"/>
              <w:ind w:right="31" w:rightChars="15"/>
              <w:jc w:val="both"/>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3、同一人不重复计分。</w:t>
            </w:r>
          </w:p>
        </w:tc>
        <w:tc>
          <w:tcPr>
            <w:tcW w:w="1099"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满分</w:t>
            </w:r>
          </w:p>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t>分</w:t>
            </w:r>
          </w:p>
        </w:tc>
      </w:tr>
    </w:tbl>
    <w:p>
      <w:pPr>
        <w:spacing w:before="120" w:beforeLines="50" w:line="500" w:lineRule="exact"/>
        <w:ind w:firstLine="314"/>
        <w:rPr>
          <w:rFonts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（3）价格分F3（满分</w:t>
      </w:r>
      <w:r>
        <w:rPr>
          <w:rFonts w:hint="eastAsia" w:ascii="仿宋" w:hAnsi="仿宋" w:eastAsia="仿宋" w:cs="华文细黑"/>
          <w:color w:val="000000" w:themeColor="text1"/>
          <w:sz w:val="28"/>
          <w:szCs w:val="28"/>
          <w:highlight w:val="none"/>
          <w:lang w:val="en-US" w:eastAsia="zh-CN"/>
          <w14:textFill>
            <w14:solidFill>
              <w14:schemeClr w14:val="tx1"/>
            </w14:solidFill>
          </w14:textFill>
        </w:rPr>
        <w:t>25</w:t>
      </w:r>
      <w:r>
        <w:rPr>
          <w:rFonts w:hint="eastAsia" w:ascii="仿宋" w:hAnsi="仿宋" w:eastAsia="仿宋" w:cs="华文细黑"/>
          <w:b/>
          <w:color w:val="000000" w:themeColor="text1"/>
          <w:sz w:val="32"/>
          <w:szCs w:val="32"/>
          <w:highlight w:val="none"/>
          <w14:textFill>
            <w14:solidFill>
              <w14:schemeClr w14:val="tx1"/>
            </w14:solidFill>
          </w14:textFill>
        </w:rPr>
        <w:t>分）</w:t>
      </w:r>
    </w:p>
    <w:p>
      <w:pPr>
        <w:spacing w:line="500" w:lineRule="exact"/>
        <w:ind w:firstLine="633" w:firstLineChars="198"/>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A.评标基准价计算方法采用低价优先法，即满足招标文件要求且评标价最低的评标价作为评标基准价，其价格分为满分。其他投标人价格分按下列公式计算：</w:t>
      </w:r>
    </w:p>
    <w:p>
      <w:pPr>
        <w:spacing w:line="500" w:lineRule="exact"/>
        <w:ind w:firstLine="315" w:firstLineChars="98"/>
        <w:rPr>
          <w:rFonts w:hint="default" w:ascii="仿宋" w:hAnsi="仿宋" w:eastAsia="仿宋" w:cs="华文细黑"/>
          <w:b/>
          <w:color w:val="000000" w:themeColor="text1"/>
          <w:sz w:val="32"/>
          <w:szCs w:val="32"/>
          <w:highlight w:val="none"/>
          <w:lang w:val="en-US" w:eastAsia="zh-CN"/>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价格分=评标基准价/投标人的评标价×</w:t>
      </w:r>
      <w:r>
        <w:rPr>
          <w:rFonts w:hint="eastAsia" w:ascii="仿宋" w:hAnsi="仿宋" w:eastAsia="仿宋" w:cs="华文细黑"/>
          <w:b/>
          <w:color w:val="000000" w:themeColor="text1"/>
          <w:sz w:val="32"/>
          <w:szCs w:val="32"/>
          <w:highlight w:val="none"/>
          <w:lang w:val="en-US" w:eastAsia="zh-CN"/>
          <w14:textFill>
            <w14:solidFill>
              <w14:schemeClr w14:val="tx1"/>
            </w14:solidFill>
          </w14:textFill>
        </w:rPr>
        <w:t>25</w:t>
      </w:r>
    </w:p>
    <w:p>
      <w:pPr>
        <w:spacing w:line="500" w:lineRule="exact"/>
        <w:ind w:firstLine="313" w:firstLineChars="98"/>
        <w:rPr>
          <w:rFonts w:ascii="仿宋" w:hAnsi="仿宋" w:eastAsia="仿宋" w:cs="华文细黑"/>
          <w:color w:val="000000" w:themeColor="text1"/>
          <w:spacing w:val="-4"/>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注：如投标人的投标报价存在</w:t>
      </w:r>
      <w:r>
        <w:rPr>
          <w:rFonts w:hint="eastAsia" w:ascii="仿宋" w:hAnsi="仿宋" w:eastAsia="仿宋" w:cs="华文细黑"/>
          <w:color w:val="000000" w:themeColor="text1"/>
          <w:spacing w:val="-4"/>
          <w:sz w:val="32"/>
          <w:szCs w:val="32"/>
          <w:highlight w:val="none"/>
          <w14:textFill>
            <w14:solidFill>
              <w14:schemeClr w14:val="tx1"/>
            </w14:solidFill>
          </w14:textFill>
        </w:rPr>
        <w:t>漏（缺）项的，按废标处理。</w:t>
      </w:r>
    </w:p>
    <w:p>
      <w:pPr>
        <w:spacing w:line="500" w:lineRule="exact"/>
        <w:ind w:firstLine="321" w:firstLineChars="100"/>
        <w:rPr>
          <w:rFonts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 xml:space="preserve">（4）各初审合格投标人综合得分= F1＋F2＋F3 </w:t>
      </w:r>
    </w:p>
    <w:p>
      <w:pPr>
        <w:spacing w:line="500" w:lineRule="exact"/>
        <w:ind w:firstLine="320" w:firstLineChars="1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说明：计算技术汇总得分、商务汇总得分及价格分时，经四舍五入后保留三位小数，计算投标人综合得分时，经四舍五入后保留两位小数。</w:t>
      </w:r>
    </w:p>
    <w:p>
      <w:pPr>
        <w:spacing w:line="500" w:lineRule="exact"/>
        <w:ind w:firstLine="643" w:firstLineChars="200"/>
        <w:rPr>
          <w:rFonts w:ascii="仿宋" w:hAnsi="仿宋" w:eastAsia="仿宋" w:cs="华文细黑"/>
          <w:b/>
          <w:color w:val="000000" w:themeColor="text1"/>
          <w:sz w:val="32"/>
          <w:szCs w:val="32"/>
          <w:highlight w:val="none"/>
          <w14:textFill>
            <w14:solidFill>
              <w14:schemeClr w14:val="tx1"/>
            </w14:solidFill>
          </w14:textFill>
        </w:rPr>
      </w:pPr>
      <w:r>
        <w:rPr>
          <w:rFonts w:hint="eastAsia" w:ascii="仿宋" w:hAnsi="仿宋" w:eastAsia="仿宋" w:cs="华文细黑"/>
          <w:b/>
          <w:color w:val="000000" w:themeColor="text1"/>
          <w:sz w:val="32"/>
          <w:szCs w:val="32"/>
          <w:highlight w:val="none"/>
          <w14:textFill>
            <w14:solidFill>
              <w14:schemeClr w14:val="tx1"/>
            </w14:solidFill>
          </w14:textFill>
        </w:rPr>
        <w:t>18.2推荐中标候选人原则</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18.2.1排名及排名规则：评标委员会根据以下原则对初审合格的投标人进行排名：</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（2）综合得分相同时，投标报价低者排名在前；</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（3）综合得分相同且投标报价相同时，技术分得分高者（即F1得分高者）排名在前；</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（4）以上办法都不能确定排名时，评标委员会根据有利于项目实施的原则确定排名。</w:t>
      </w:r>
    </w:p>
    <w:p>
      <w:pPr>
        <w:spacing w:line="500" w:lineRule="exact"/>
        <w:ind w:firstLine="640" w:firstLineChars="200"/>
        <w:rPr>
          <w:rFonts w:ascii="仿宋" w:hAnsi="仿宋" w:eastAsia="仿宋" w:cs="华文细黑"/>
          <w:color w:val="000000" w:themeColor="text1"/>
          <w:sz w:val="32"/>
          <w:szCs w:val="32"/>
          <w:highlight w:val="none"/>
          <w14:textFill>
            <w14:solidFill>
              <w14:schemeClr w14:val="tx1"/>
            </w14:solidFill>
          </w14:textFill>
        </w:rPr>
      </w:pPr>
      <w:r>
        <w:rPr>
          <w:rFonts w:hint="eastAsia" w:ascii="仿宋" w:hAnsi="仿宋" w:eastAsia="仿宋" w:cs="华文细黑"/>
          <w:color w:val="000000" w:themeColor="text1"/>
          <w:sz w:val="32"/>
          <w:szCs w:val="32"/>
          <w:highlight w:val="none"/>
          <w14:textFill>
            <w14:solidFill>
              <w14:schemeClr w14:val="tx1"/>
            </w14:solidFill>
          </w14:textFill>
        </w:rPr>
        <w:t>18.2.2推荐中标候选人：评标委员会将按比较与评价最优先原则，推荐出中标候选单位，其余的合格投标单位为备选供应商。</w:t>
      </w:r>
    </w:p>
    <w:p>
      <w:pPr>
        <w:ind w:firstLine="643" w:firstLineChars="200"/>
        <w:rPr>
          <w:rFonts w:ascii="仿宋" w:hAnsi="仿宋" w:eastAsia="仿宋"/>
          <w:b/>
          <w:color w:val="000000" w:themeColor="text1"/>
          <w:sz w:val="32"/>
          <w:highlight w:val="none"/>
          <w14:textFill>
            <w14:solidFill>
              <w14:schemeClr w14:val="tx1"/>
            </w14:solidFill>
          </w14:textFill>
        </w:rPr>
      </w:pPr>
    </w:p>
    <w:p>
      <w:pPr>
        <w:ind w:firstLine="643" w:firstLineChars="200"/>
        <w:rPr>
          <w:rFonts w:ascii="仿宋" w:hAnsi="仿宋" w:eastAsia="仿宋"/>
          <w:b/>
          <w:color w:val="000000" w:themeColor="text1"/>
          <w:sz w:val="32"/>
          <w:highlight w:val="none"/>
          <w14:textFill>
            <w14:solidFill>
              <w14:schemeClr w14:val="tx1"/>
            </w14:solidFill>
          </w14:textFill>
        </w:rPr>
      </w:pPr>
      <w:r>
        <w:rPr>
          <w:rFonts w:hint="eastAsia" w:ascii="仿宋" w:hAnsi="仿宋" w:eastAsia="仿宋"/>
          <w:b/>
          <w:color w:val="000000" w:themeColor="text1"/>
          <w:sz w:val="32"/>
          <w:highlight w:val="none"/>
          <w14:textFill>
            <w14:solidFill>
              <w14:schemeClr w14:val="tx1"/>
            </w14:solidFill>
          </w14:textFill>
        </w:rPr>
        <w:t>18.3.定标准则</w:t>
      </w:r>
    </w:p>
    <w:p>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1招标人将按照评标报告中推荐的中标候选人顺序确定拟中标人。</w:t>
      </w:r>
    </w:p>
    <w:p>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18.3.4接受审查的拟中标人必须如实回答询问或接受招标人的考察，并提供所需的有关资料。</w:t>
      </w:r>
    </w:p>
    <w:p>
      <w:pPr>
        <w:adjustRightInd w:val="0"/>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18.3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5中标通知书生效后，如果已中标的投标人不能按投标文件中承诺的条件履行签约行为，招标人有权在评标委员会推荐的中标候选人名单中按顺序选择新的合同授予人。</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33" w:name="_Toc1721"/>
      <w:bookmarkStart w:id="134" w:name="_Toc191892321"/>
      <w:bookmarkStart w:id="135" w:name="_Toc192925669"/>
      <w:bookmarkStart w:id="136" w:name="_Toc29688"/>
      <w:r>
        <w:rPr>
          <w:rFonts w:hint="eastAsia" w:ascii="仿宋" w:hAnsi="仿宋" w:eastAsia="仿宋"/>
          <w:color w:val="000000" w:themeColor="text1"/>
          <w:sz w:val="32"/>
          <w:highlight w:val="none"/>
          <w14:textFill>
            <w14:solidFill>
              <w14:schemeClr w14:val="tx1"/>
            </w14:solidFill>
          </w14:textFill>
        </w:rPr>
        <w:t>19. 投标文件的澄清</w:t>
      </w:r>
      <w:bookmarkEnd w:id="133"/>
      <w:bookmarkEnd w:id="134"/>
      <w:bookmarkEnd w:id="135"/>
      <w:bookmarkEnd w:id="136"/>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37" w:name="_Toc17762"/>
      <w:bookmarkStart w:id="138" w:name="_Toc192925670"/>
      <w:bookmarkStart w:id="139" w:name="_Toc191892322"/>
      <w:bookmarkStart w:id="140" w:name="_Toc3145"/>
      <w:r>
        <w:rPr>
          <w:rFonts w:hint="eastAsia" w:ascii="仿宋" w:hAnsi="仿宋" w:eastAsia="仿宋"/>
          <w:color w:val="000000" w:themeColor="text1"/>
          <w:sz w:val="32"/>
          <w:highlight w:val="none"/>
          <w14:textFill>
            <w14:solidFill>
              <w14:schemeClr w14:val="tx1"/>
            </w14:solidFill>
          </w14:textFill>
        </w:rPr>
        <w:t>20. 比较与评价</w:t>
      </w:r>
      <w:bookmarkEnd w:id="137"/>
      <w:bookmarkEnd w:id="138"/>
      <w:bookmarkEnd w:id="139"/>
      <w:bookmarkEnd w:id="140"/>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ascii="仿宋" w:hAnsi="仿宋" w:eastAsia="仿宋"/>
          <w:color w:val="000000" w:themeColor="text1"/>
          <w:sz w:val="32"/>
          <w:highlight w:val="none"/>
          <w14:textFill>
            <w14:solidFill>
              <w14:schemeClr w14:val="tx1"/>
            </w14:solidFill>
          </w14:textFill>
        </w:rPr>
      </w:pPr>
      <w:bookmarkStart w:id="141" w:name="_Toc20162"/>
      <w:bookmarkStart w:id="142" w:name="_Toc191892323"/>
      <w:bookmarkStart w:id="143" w:name="_Toc27394"/>
      <w:bookmarkStart w:id="144" w:name="_Toc192925671"/>
      <w:r>
        <w:rPr>
          <w:rFonts w:hint="eastAsia" w:ascii="仿宋" w:hAnsi="仿宋" w:eastAsia="仿宋"/>
          <w:color w:val="000000" w:themeColor="text1"/>
          <w:sz w:val="32"/>
          <w:highlight w:val="none"/>
          <w14:textFill>
            <w14:solidFill>
              <w14:schemeClr w14:val="tx1"/>
            </w14:solidFill>
          </w14:textFill>
        </w:rPr>
        <w:t>第六节 定标与签订合同</w:t>
      </w:r>
      <w:bookmarkEnd w:id="141"/>
      <w:bookmarkEnd w:id="142"/>
      <w:bookmarkEnd w:id="143"/>
      <w:bookmarkEnd w:id="144"/>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45" w:name="_Toc25098"/>
      <w:bookmarkStart w:id="146" w:name="_Toc191892324"/>
      <w:bookmarkStart w:id="147" w:name="_Toc5372"/>
      <w:bookmarkStart w:id="148" w:name="_Toc192925672"/>
      <w:r>
        <w:rPr>
          <w:rFonts w:hint="eastAsia" w:ascii="仿宋" w:hAnsi="仿宋" w:eastAsia="仿宋"/>
          <w:color w:val="000000" w:themeColor="text1"/>
          <w:sz w:val="32"/>
          <w:highlight w:val="none"/>
          <w14:textFill>
            <w14:solidFill>
              <w14:schemeClr w14:val="tx1"/>
            </w14:solidFill>
          </w14:textFill>
        </w:rPr>
        <w:t>21</w:t>
      </w:r>
      <w:r>
        <w:rPr>
          <w:rFonts w:ascii="仿宋" w:hAnsi="仿宋" w:eastAsia="仿宋"/>
          <w:color w:val="000000" w:themeColor="text1"/>
          <w:sz w:val="32"/>
          <w:highlight w:val="none"/>
          <w14:textFill>
            <w14:solidFill>
              <w14:schemeClr w14:val="tx1"/>
            </w14:solidFill>
          </w14:textFill>
        </w:rPr>
        <w:t>.</w:t>
      </w:r>
      <w:r>
        <w:rPr>
          <w:rFonts w:hint="eastAsia" w:ascii="仿宋" w:hAnsi="仿宋" w:eastAsia="仿宋"/>
          <w:color w:val="000000" w:themeColor="text1"/>
          <w:sz w:val="32"/>
          <w:highlight w:val="none"/>
          <w14:textFill>
            <w14:solidFill>
              <w14:schemeClr w14:val="tx1"/>
            </w14:solidFill>
          </w14:textFill>
        </w:rPr>
        <w:t xml:space="preserve"> 定标准则</w:t>
      </w:r>
      <w:bookmarkEnd w:id="145"/>
      <w:bookmarkEnd w:id="146"/>
      <w:bookmarkEnd w:id="147"/>
      <w:bookmarkEnd w:id="148"/>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49" w:name="_Toc191892325"/>
      <w:bookmarkStart w:id="150" w:name="_Toc18867"/>
      <w:bookmarkStart w:id="151" w:name="_Toc24328"/>
      <w:bookmarkStart w:id="152" w:name="_Toc192925673"/>
      <w:r>
        <w:rPr>
          <w:rFonts w:hint="eastAsia" w:ascii="仿宋" w:hAnsi="仿宋" w:eastAsia="仿宋"/>
          <w:color w:val="000000" w:themeColor="text1"/>
          <w:sz w:val="32"/>
          <w:highlight w:val="none"/>
          <w14:textFill>
            <w14:solidFill>
              <w14:schemeClr w14:val="tx1"/>
            </w14:solidFill>
          </w14:textFill>
        </w:rPr>
        <w:t>22</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olor w:val="000000" w:themeColor="text1"/>
          <w:sz w:val="32"/>
          <w:highlight w:val="none"/>
          <w14:textFill>
            <w14:solidFill>
              <w14:schemeClr w14:val="tx1"/>
            </w14:solidFill>
          </w14:textFill>
        </w:rPr>
        <w:t>中标通知</w:t>
      </w:r>
      <w:bookmarkEnd w:id="149"/>
      <w:bookmarkEnd w:id="150"/>
      <w:bookmarkEnd w:id="151"/>
      <w:bookmarkEnd w:id="152"/>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22</w:t>
      </w:r>
      <w:r>
        <w:rPr>
          <w:rFonts w:ascii="仿宋" w:hAnsi="仿宋" w:eastAsia="仿宋"/>
          <w:color w:val="000000" w:themeColor="text1"/>
          <w:sz w:val="32"/>
          <w:szCs w:val="32"/>
          <w:highlight w:val="none"/>
          <w14:textFill>
            <w14:solidFill>
              <w14:schemeClr w14:val="tx1"/>
            </w14:solidFill>
          </w14:textFill>
        </w:rPr>
        <w:t xml:space="preserve">.1 </w:t>
      </w:r>
      <w:r>
        <w:rPr>
          <w:rFonts w:hint="eastAsia" w:ascii="仿宋" w:hAnsi="仿宋" w:eastAsia="仿宋"/>
          <w:color w:val="000000" w:themeColor="text1"/>
          <w:sz w:val="32"/>
          <w:szCs w:val="32"/>
          <w:highlight w:val="none"/>
          <w14:textFill>
            <w14:solidFill>
              <w14:schemeClr w14:val="tx1"/>
            </w14:solidFill>
          </w14:textFill>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22.2 招标人将向中标单位发出《中标通知书》，没有中标的其它投标人不另行通知。</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22</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ascii="仿宋" w:hAnsi="仿宋" w:eastAsia="仿宋"/>
          <w:color w:val="000000" w:themeColor="text1"/>
          <w:sz w:val="32"/>
          <w:highlight w:val="none"/>
          <w14:textFill>
            <w14:solidFill>
              <w14:schemeClr w14:val="tx1"/>
            </w14:solidFill>
          </w14:textFill>
        </w:rPr>
      </w:pPr>
      <w:bookmarkStart w:id="153" w:name="_Toc191892326"/>
      <w:bookmarkStart w:id="154" w:name="_Toc11963"/>
      <w:bookmarkStart w:id="155" w:name="_Toc192925674"/>
      <w:bookmarkStart w:id="156" w:name="_Toc18956"/>
      <w:r>
        <w:rPr>
          <w:rFonts w:hint="eastAsia" w:ascii="仿宋" w:hAnsi="仿宋" w:eastAsia="仿宋"/>
          <w:color w:val="000000" w:themeColor="text1"/>
          <w:sz w:val="32"/>
          <w:highlight w:val="none"/>
          <w14:textFill>
            <w14:solidFill>
              <w14:schemeClr w14:val="tx1"/>
            </w14:solidFill>
          </w14:textFill>
        </w:rPr>
        <w:t>23. 签订合同</w:t>
      </w:r>
      <w:bookmarkEnd w:id="153"/>
      <w:bookmarkEnd w:id="154"/>
      <w:bookmarkEnd w:id="155"/>
      <w:bookmarkEnd w:id="156"/>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23.4 中标人未能按招标人的要求，随时提供投标文件中出具的相关证明材料的原件，招标人有权认定投标人存在弄虚作假、骗取中标的行为。</w:t>
      </w:r>
    </w:p>
    <w:p>
      <w:pPr>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p>
    <w:p>
      <w:pPr>
        <w:pStyle w:val="2"/>
        <w:keepNext w:val="0"/>
        <w:keepLines w:val="0"/>
        <w:spacing w:before="0" w:after="0" w:line="360" w:lineRule="auto"/>
        <w:jc w:val="center"/>
        <w:rPr>
          <w:rFonts w:ascii="仿宋" w:hAnsi="仿宋" w:eastAsia="仿宋"/>
          <w:color w:val="000000" w:themeColor="text1"/>
          <w:szCs w:val="32"/>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br w:type="page"/>
      </w:r>
      <w:bookmarkStart w:id="157" w:name="_Toc3955"/>
      <w:bookmarkStart w:id="158" w:name="_Toc25804"/>
      <w:r>
        <w:rPr>
          <w:rFonts w:hint="eastAsia" w:ascii="仿宋" w:hAnsi="仿宋" w:eastAsia="仿宋"/>
          <w:color w:val="000000" w:themeColor="text1"/>
          <w:szCs w:val="32"/>
          <w:highlight w:val="none"/>
          <w14:textFill>
            <w14:solidFill>
              <w14:schemeClr w14:val="tx1"/>
            </w14:solidFill>
          </w14:textFill>
        </w:rPr>
        <w:t>第三章　招标内容及要求</w:t>
      </w:r>
      <w:bookmarkEnd w:id="157"/>
      <w:bookmarkEnd w:id="158"/>
    </w:p>
    <w:p>
      <w:pPr>
        <w:rPr>
          <w:color w:val="000000" w:themeColor="text1"/>
          <w:sz w:val="32"/>
          <w:szCs w:val="32"/>
          <w:highlight w:val="none"/>
          <w14:textFill>
            <w14:solidFill>
              <w14:schemeClr w14:val="tx1"/>
            </w14:solidFill>
          </w14:textFill>
        </w:rPr>
      </w:pPr>
    </w:p>
    <w:p>
      <w:pPr>
        <w:pStyle w:val="3"/>
        <w:keepNext w:val="0"/>
        <w:keepLines w:val="0"/>
        <w:spacing w:before="0" w:after="0" w:line="360" w:lineRule="auto"/>
        <w:jc w:val="center"/>
        <w:rPr>
          <w:rFonts w:ascii="仿宋" w:hAnsi="仿宋" w:eastAsia="仿宋"/>
          <w:color w:val="000000" w:themeColor="text1"/>
          <w:sz w:val="32"/>
          <w:highlight w:val="none"/>
          <w14:textFill>
            <w14:solidFill>
              <w14:schemeClr w14:val="tx1"/>
            </w14:solidFill>
          </w14:textFill>
        </w:rPr>
      </w:pPr>
      <w:bookmarkStart w:id="159" w:name="_Toc17946"/>
      <w:bookmarkStart w:id="160" w:name="_Toc10122"/>
      <w:r>
        <w:rPr>
          <w:rFonts w:hint="eastAsia" w:ascii="仿宋" w:hAnsi="仿宋" w:eastAsia="仿宋"/>
          <w:color w:val="000000" w:themeColor="text1"/>
          <w:sz w:val="32"/>
          <w:highlight w:val="none"/>
          <w14:textFill>
            <w14:solidFill>
              <w14:schemeClr w14:val="tx1"/>
            </w14:solidFill>
          </w14:textFill>
        </w:rPr>
        <w:t>第一节 项目需求</w:t>
      </w:r>
      <w:bookmarkEnd w:id="159"/>
      <w:bookmarkEnd w:id="160"/>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bookmarkStart w:id="161" w:name="_bookmark18"/>
      <w:bookmarkEnd w:id="161"/>
      <w:r>
        <w:rPr>
          <w:rFonts w:hint="eastAsia" w:ascii="仿宋" w:hAnsi="仿宋" w:eastAsia="仿宋"/>
          <w:b/>
          <w:color w:val="000000" w:themeColor="text1"/>
          <w:sz w:val="32"/>
          <w:szCs w:val="32"/>
          <w:highlight w:val="none"/>
          <w14:textFill>
            <w14:solidFill>
              <w14:schemeClr w14:val="tx1"/>
            </w14:solidFill>
          </w14:textFill>
        </w:rPr>
        <w:t>一、项目基本情况概述</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厦门国际博览中心位于厦门市翔安区，本物业由展服智慧（厦门）物业服务有限公司进行管理并提供展会现场服务；</w:t>
      </w:r>
      <w:r>
        <w:rPr>
          <w:rFonts w:hint="eastAsia" w:ascii="仿宋" w:hAnsi="仿宋" w:eastAsia="仿宋"/>
          <w:color w:val="000000" w:themeColor="text1"/>
          <w:sz w:val="30"/>
          <w:szCs w:val="30"/>
          <w:highlight w:val="none"/>
          <w:lang w:val="zh-CN"/>
          <w14:textFill>
            <w14:solidFill>
              <w14:schemeClr w14:val="tx1"/>
            </w14:solidFill>
          </w14:textFill>
        </w:rPr>
        <w:t>202</w:t>
      </w:r>
      <w:r>
        <w:rPr>
          <w:rFonts w:hint="eastAsia" w:ascii="仿宋" w:hAnsi="仿宋" w:eastAsia="仿宋"/>
          <w:color w:val="000000" w:themeColor="text1"/>
          <w:sz w:val="30"/>
          <w:szCs w:val="30"/>
          <w:highlight w:val="none"/>
          <w:lang w:val="en-US" w:eastAsia="zh-CN"/>
          <w14:textFill>
            <w14:solidFill>
              <w14:schemeClr w14:val="tx1"/>
            </w14:solidFill>
          </w14:textFill>
        </w:rPr>
        <w:t>4</w:t>
      </w:r>
      <w:r>
        <w:rPr>
          <w:rFonts w:hint="eastAsia" w:ascii="仿宋" w:hAnsi="仿宋" w:eastAsia="仿宋"/>
          <w:color w:val="000000" w:themeColor="text1"/>
          <w:sz w:val="30"/>
          <w:szCs w:val="30"/>
          <w:highlight w:val="none"/>
          <w:lang w:val="zh-CN"/>
          <w14:textFill>
            <w14:solidFill>
              <w14:schemeClr w14:val="tx1"/>
            </w14:solidFill>
          </w14:textFill>
        </w:rPr>
        <w:t>全国制药机械博览会</w:t>
      </w:r>
      <w:r>
        <w:rPr>
          <w:rFonts w:hint="eastAsia" w:ascii="仿宋" w:hAnsi="仿宋" w:eastAsia="仿宋"/>
          <w:color w:val="000000" w:themeColor="text1"/>
          <w:sz w:val="32"/>
          <w:szCs w:val="32"/>
          <w:highlight w:val="none"/>
          <w14:textFill>
            <w14:solidFill>
              <w14:schemeClr w14:val="tx1"/>
            </w14:solidFill>
          </w14:textFill>
        </w:rPr>
        <w:t>共有11个室内展馆，净展览面积约30万平方米。</w:t>
      </w:r>
    </w:p>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二、水电气现场服务范围</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此次水电气现场服务范围针对厦门国际博览中心，约30万平方米室内展区和5万平方米室外展区</w:t>
      </w:r>
      <w:r>
        <w:rPr>
          <w:rFonts w:hint="eastAsia" w:ascii="仿宋" w:hAnsi="仿宋" w:eastAsia="仿宋"/>
          <w:color w:val="000000" w:themeColor="text1"/>
          <w:sz w:val="32"/>
          <w:szCs w:val="32"/>
          <w:highlight w:val="none"/>
          <w:lang w:val="en-US" w:eastAsia="zh-CN"/>
          <w14:textFill>
            <w14:solidFill>
              <w14:schemeClr w14:val="tx1"/>
            </w14:solidFill>
          </w14:textFill>
        </w:rPr>
        <w:t>等部位合计的一半，具体以场馆运营公司临时业务分配为准</w:t>
      </w: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ind w:firstLine="643" w:firstLineChars="200"/>
        <w:rPr>
          <w:rFonts w:hint="default" w:ascii="仿宋" w:hAnsi="仿宋" w:eastAsia="仿宋"/>
          <w:b/>
          <w:color w:val="000000" w:themeColor="text1"/>
          <w:sz w:val="32"/>
          <w:szCs w:val="32"/>
          <w:highlight w:val="none"/>
          <w:lang w:val="en-US" w:eastAsia="zh-CN"/>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三、本次服务工作量清单</w:t>
      </w:r>
      <w:r>
        <w:rPr>
          <w:rFonts w:hint="eastAsia" w:ascii="仿宋" w:hAnsi="仿宋" w:eastAsia="仿宋"/>
          <w:b/>
          <w:color w:val="000000" w:themeColor="text1"/>
          <w:sz w:val="32"/>
          <w:szCs w:val="32"/>
          <w:highlight w:val="none"/>
          <w:lang w:val="en-US" w:eastAsia="zh-CN"/>
          <w14:textFill>
            <w14:solidFill>
              <w14:schemeClr w14:val="tx1"/>
            </w14:solidFill>
          </w14:textFill>
        </w:rPr>
        <w:t>为下表一半数量，具体以场馆运营公司临时业务分配为准。</w:t>
      </w:r>
    </w:p>
    <w:tbl>
      <w:tblPr>
        <w:tblStyle w:val="17"/>
        <w:tblW w:w="0" w:type="auto"/>
        <w:tblInd w:w="0" w:type="dxa"/>
        <w:tblLayout w:type="autofit"/>
        <w:tblCellMar>
          <w:top w:w="0" w:type="dxa"/>
          <w:left w:w="0" w:type="dxa"/>
          <w:bottom w:w="0" w:type="dxa"/>
          <w:right w:w="0" w:type="dxa"/>
        </w:tblCellMar>
      </w:tblPr>
      <w:tblGrid>
        <w:gridCol w:w="830"/>
        <w:gridCol w:w="7180"/>
        <w:gridCol w:w="1030"/>
      </w:tblGrid>
      <w:tr>
        <w:tblPrEx>
          <w:tblCellMar>
            <w:top w:w="0" w:type="dxa"/>
            <w:left w:w="0" w:type="dxa"/>
            <w:bottom w:w="0" w:type="dxa"/>
            <w:right w:w="0"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类别</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规格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暂定工作量</w:t>
            </w:r>
          </w:p>
        </w:tc>
      </w:tr>
      <w:tr>
        <w:tblPrEx>
          <w:tblCellMar>
            <w:top w:w="0" w:type="dxa"/>
            <w:left w:w="0" w:type="dxa"/>
            <w:bottom w:w="0" w:type="dxa"/>
            <w:right w:w="0" w:type="dxa"/>
          </w:tblCellMar>
        </w:tblPrEx>
        <w:trPr>
          <w:trHeight w:val="720" w:hRule="atLeast"/>
        </w:trPr>
        <w:tc>
          <w:tcPr>
            <w:tcW w:w="0" w:type="auto"/>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szCs w:val="20"/>
                <w:highlight w:val="none"/>
                <w14:textFill>
                  <w14:solidFill>
                    <w14:schemeClr w14:val="tx1"/>
                  </w14:solidFill>
                </w14:textFill>
              </w:rPr>
            </w:pPr>
          </w:p>
        </w:tc>
      </w:tr>
      <w:tr>
        <w:tblPrEx>
          <w:tblCellMar>
            <w:top w:w="0" w:type="dxa"/>
            <w:left w:w="0" w:type="dxa"/>
            <w:bottom w:w="0" w:type="dxa"/>
            <w:right w:w="0" w:type="dxa"/>
          </w:tblCellMar>
        </w:tblPrEx>
        <w:trPr>
          <w:trHeight w:val="380" w:hRule="atLeast"/>
        </w:trPr>
        <w:tc>
          <w:tcPr>
            <w:tcW w:w="0" w:type="auto"/>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szCs w:val="20"/>
                <w:highlight w:val="none"/>
                <w14:textFill>
                  <w14:solidFill>
                    <w14:schemeClr w14:val="tx1"/>
                  </w14:solidFill>
                </w14:textFill>
              </w:rPr>
            </w:pPr>
            <w:r>
              <w:rPr>
                <w:rFonts w:ascii="宋体" w:hAnsi="宋体" w:cs="宋体"/>
                <w:color w:val="000000" w:themeColor="text1"/>
                <w:sz w:val="20"/>
                <w:szCs w:val="20"/>
                <w:highlight w:val="none"/>
                <w14:textFill>
                  <w14:solidFill>
                    <w14:schemeClr w14:val="tx1"/>
                  </w14:solidFill>
                </w14:textFill>
              </w:rPr>
              <w:t>智慧电箱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16A  220V电箱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1979</w:t>
            </w:r>
          </w:p>
        </w:tc>
      </w:tr>
      <w:tr>
        <w:tblPrEx>
          <w:tblCellMar>
            <w:top w:w="0" w:type="dxa"/>
            <w:left w:w="0" w:type="dxa"/>
            <w:bottom w:w="0" w:type="dxa"/>
            <w:right w:w="0"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16A  380V电箱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2159</w:t>
            </w:r>
          </w:p>
        </w:tc>
      </w:tr>
      <w:tr>
        <w:tblPrEx>
          <w:tblCellMar>
            <w:top w:w="0" w:type="dxa"/>
            <w:left w:w="0" w:type="dxa"/>
            <w:bottom w:w="0" w:type="dxa"/>
            <w:right w:w="0"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32A  380V电箱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696</w:t>
            </w:r>
          </w:p>
        </w:tc>
      </w:tr>
      <w:tr>
        <w:tblPrEx>
          <w:tblCellMar>
            <w:top w:w="0" w:type="dxa"/>
            <w:left w:w="0" w:type="dxa"/>
            <w:bottom w:w="0" w:type="dxa"/>
            <w:right w:w="0"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63A  380V电箱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244</w:t>
            </w:r>
          </w:p>
        </w:tc>
      </w:tr>
      <w:tr>
        <w:tblPrEx>
          <w:tblCellMar>
            <w:top w:w="0" w:type="dxa"/>
            <w:left w:w="0" w:type="dxa"/>
            <w:bottom w:w="0" w:type="dxa"/>
            <w:right w:w="0"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125A 380V电箱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222</w:t>
            </w:r>
          </w:p>
        </w:tc>
      </w:tr>
      <w:tr>
        <w:tblPrEx>
          <w:tblCellMar>
            <w:top w:w="0" w:type="dxa"/>
            <w:left w:w="0" w:type="dxa"/>
            <w:bottom w:w="0" w:type="dxa"/>
            <w:right w:w="0" w:type="dxa"/>
          </w:tblCellMar>
        </w:tblPrEx>
        <w:trPr>
          <w:trHeight w:val="3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200A 380V电箱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55</w:t>
            </w:r>
          </w:p>
        </w:tc>
      </w:tr>
      <w:tr>
        <w:tblPrEx>
          <w:tblCellMar>
            <w:top w:w="0" w:type="dxa"/>
            <w:left w:w="0" w:type="dxa"/>
            <w:bottom w:w="0" w:type="dxa"/>
            <w:right w:w="0"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压缩空气</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≦0.17立方米/分钟气管尺寸内径：8mm，或压力：≥0.6mpa；流量：200L/min</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80</w:t>
            </w:r>
          </w:p>
        </w:tc>
      </w:tr>
      <w:tr>
        <w:tblPrEx>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≦0.48立方米/分钟，气管尺寸内径：12mm，或压力：≥0.6mpa；流量：400L/min</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50</w:t>
            </w:r>
          </w:p>
        </w:tc>
      </w:tr>
      <w:tr>
        <w:tblPrEx>
          <w:tblCellMar>
            <w:top w:w="0" w:type="dxa"/>
            <w:left w:w="0" w:type="dxa"/>
            <w:bottom w:w="0" w:type="dxa"/>
            <w:right w:w="0"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≦0.71立方米/分钟，气管尺寸内径：16mm</w:t>
            </w:r>
          </w:p>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压力：≥0.6mpa；流量：800L/min</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50</w:t>
            </w:r>
          </w:p>
        </w:tc>
      </w:tr>
      <w:tr>
        <w:tblPrEx>
          <w:tblCellMar>
            <w:top w:w="0" w:type="dxa"/>
            <w:left w:w="0" w:type="dxa"/>
            <w:bottom w:w="0" w:type="dxa"/>
            <w:right w:w="0"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≦0.9立方米/分钟，气管尺寸内径：18mm</w:t>
            </w:r>
          </w:p>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压力：≥0.6mpa</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10</w:t>
            </w:r>
          </w:p>
        </w:tc>
      </w:tr>
      <w:tr>
        <w:tblPrEx>
          <w:tblCellMar>
            <w:top w:w="0" w:type="dxa"/>
            <w:left w:w="0" w:type="dxa"/>
            <w:bottom w:w="0" w:type="dxa"/>
            <w:right w:w="0"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≧1.0立方米/分钟，气管尺寸内径：22mm</w:t>
            </w:r>
          </w:p>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压力：≥0.6mpa</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10</w:t>
            </w:r>
          </w:p>
        </w:tc>
      </w:tr>
      <w:tr>
        <w:tblPrEx>
          <w:tblCellMar>
            <w:top w:w="0" w:type="dxa"/>
            <w:left w:w="0" w:type="dxa"/>
            <w:bottom w:w="0" w:type="dxa"/>
            <w:right w:w="0" w:type="dxa"/>
          </w:tblCellMar>
        </w:tblPrEx>
        <w:trPr>
          <w:trHeight w:val="4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给排水（给水16毫米，排水50毫米）</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5</w:t>
            </w:r>
          </w:p>
        </w:tc>
      </w:tr>
      <w:tr>
        <w:tblPrEx>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给排水（给水19毫米，排水50毫米）</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5</w:t>
            </w:r>
          </w:p>
        </w:tc>
      </w:tr>
      <w:tr>
        <w:tblPrEx>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0" w:type="auto"/>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给排水（给水25毫米，排水50毫米）</w:t>
            </w:r>
          </w:p>
        </w:tc>
        <w:tc>
          <w:tcPr>
            <w:tcW w:w="0" w:type="auto"/>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6</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8210" w:type="dxa"/>
          <w:trHeight w:val="100" w:hRule="atLeast"/>
        </w:trPr>
        <w:tc>
          <w:tcPr>
            <w:tcW w:w="830" w:type="dxa"/>
          </w:tcPr>
          <w:p>
            <w:pPr>
              <w:pStyle w:val="10"/>
              <w:rPr>
                <w:color w:val="000000" w:themeColor="text1"/>
                <w:highlight w:val="none"/>
                <w14:textFill>
                  <w14:solidFill>
                    <w14:schemeClr w14:val="tx1"/>
                  </w14:solidFill>
                </w14:textFill>
              </w:rPr>
            </w:pPr>
          </w:p>
        </w:tc>
      </w:tr>
    </w:tbl>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四、服务计划</w:t>
      </w:r>
    </w:p>
    <w:tbl>
      <w:tblPr>
        <w:tblStyle w:val="17"/>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43"/>
        <w:gridCol w:w="4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392" w:type="pct"/>
            <w:tcBorders>
              <w:top w:val="single" w:color="000000" w:sz="4" w:space="0"/>
              <w:left w:val="single" w:color="000000" w:sz="4" w:space="0"/>
              <w:bottom w:val="single" w:color="000000" w:sz="4" w:space="0"/>
              <w:right w:val="single" w:color="000000" w:sz="4" w:space="0"/>
            </w:tcBorders>
            <w:vAlign w:val="center"/>
          </w:tcPr>
          <w:p>
            <w:pPr>
              <w:spacing w:line="500" w:lineRule="exact"/>
              <w:ind w:firstLine="640" w:firstLineChars="200"/>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时间</w:t>
            </w:r>
          </w:p>
        </w:tc>
        <w:tc>
          <w:tcPr>
            <w:tcW w:w="2607" w:type="pct"/>
            <w:tcBorders>
              <w:top w:val="single" w:color="000000" w:sz="4" w:space="0"/>
              <w:left w:val="single" w:color="000000" w:sz="4" w:space="0"/>
              <w:bottom w:val="single" w:color="000000" w:sz="4" w:space="0"/>
              <w:right w:val="single" w:color="000000" w:sz="4" w:space="0"/>
            </w:tcBorders>
            <w:vAlign w:val="center"/>
          </w:tcPr>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exact"/>
          <w:jc w:val="center"/>
        </w:trPr>
        <w:tc>
          <w:tcPr>
            <w:tcW w:w="2392"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202</w:t>
            </w:r>
            <w:r>
              <w:rPr>
                <w:rFonts w:hint="eastAsia" w:ascii="仿宋" w:hAnsi="仿宋" w:eastAsia="仿宋"/>
                <w:color w:val="000000" w:themeColor="text1"/>
                <w:sz w:val="30"/>
                <w:szCs w:val="30"/>
                <w:highlight w:val="none"/>
                <w:lang w:val="en-US" w:eastAsia="zh-CN"/>
                <w14:textFill>
                  <w14:solidFill>
                    <w14:schemeClr w14:val="tx1"/>
                  </w14:solidFill>
                </w14:textFill>
              </w:rPr>
              <w:t>4</w:t>
            </w:r>
            <w:r>
              <w:rPr>
                <w:rFonts w:hint="eastAsia" w:ascii="仿宋" w:hAnsi="仿宋" w:eastAsia="仿宋"/>
                <w:color w:val="000000" w:themeColor="text1"/>
                <w:sz w:val="30"/>
                <w:szCs w:val="30"/>
                <w:highlight w:val="none"/>
                <w14:textFill>
                  <w14:solidFill>
                    <w14:schemeClr w14:val="tx1"/>
                  </w14:solidFill>
                </w14:textFill>
              </w:rPr>
              <w:t>年11月12日至15日</w:t>
            </w:r>
          </w:p>
        </w:tc>
        <w:tc>
          <w:tcPr>
            <w:tcW w:w="2607"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展位用水、电、气接驳及现场监管与应急保障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exact"/>
          <w:jc w:val="center"/>
        </w:trPr>
        <w:tc>
          <w:tcPr>
            <w:tcW w:w="2392"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202</w:t>
            </w:r>
            <w:r>
              <w:rPr>
                <w:rFonts w:hint="eastAsia" w:ascii="仿宋" w:hAnsi="仿宋" w:eastAsia="仿宋"/>
                <w:color w:val="000000" w:themeColor="text1"/>
                <w:sz w:val="30"/>
                <w:szCs w:val="30"/>
                <w:highlight w:val="none"/>
                <w:lang w:val="en-US" w:eastAsia="zh-CN"/>
                <w14:textFill>
                  <w14:solidFill>
                    <w14:schemeClr w14:val="tx1"/>
                  </w14:solidFill>
                </w14:textFill>
              </w:rPr>
              <w:t>4</w:t>
            </w:r>
            <w:r>
              <w:rPr>
                <w:rFonts w:hint="eastAsia" w:ascii="仿宋" w:hAnsi="仿宋" w:eastAsia="仿宋"/>
                <w:color w:val="000000" w:themeColor="text1"/>
                <w:sz w:val="30"/>
                <w:szCs w:val="30"/>
                <w:highlight w:val="none"/>
                <w14:textFill>
                  <w14:solidFill>
                    <w14:schemeClr w14:val="tx1"/>
                  </w14:solidFill>
                </w14:textFill>
              </w:rPr>
              <w:t>年11月16日至24日</w:t>
            </w:r>
          </w:p>
        </w:tc>
        <w:tc>
          <w:tcPr>
            <w:tcW w:w="2607"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相关附件收集、归整、入库（或装车）</w:t>
            </w:r>
          </w:p>
        </w:tc>
      </w:tr>
    </w:tbl>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五、现场服务验收标准</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5"/>
        <w:gridCol w:w="2979"/>
        <w:gridCol w:w="3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pct"/>
            <w:vAlign w:val="center"/>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现场服务区域</w:t>
            </w:r>
          </w:p>
        </w:tc>
        <w:tc>
          <w:tcPr>
            <w:tcW w:w="1604" w:type="pct"/>
            <w:vAlign w:val="center"/>
          </w:tcPr>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服务内容</w:t>
            </w:r>
          </w:p>
        </w:tc>
        <w:tc>
          <w:tcPr>
            <w:tcW w:w="2040" w:type="pct"/>
            <w:vAlign w:val="center"/>
          </w:tcPr>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pct"/>
            <w:vMerge w:val="restart"/>
            <w:vAlign w:val="center"/>
          </w:tcPr>
          <w:p>
            <w:pPr>
              <w:spacing w:line="500" w:lineRule="exact"/>
              <w:ind w:firstLine="0" w:firstLineChars="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厦门国际博览中心展场</w:t>
            </w:r>
          </w:p>
        </w:tc>
        <w:tc>
          <w:tcPr>
            <w:tcW w:w="1604" w:type="pct"/>
            <w:vAlign w:val="center"/>
          </w:tcPr>
          <w:p>
            <w:pPr>
              <w:spacing w:line="5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接驳施工</w:t>
            </w:r>
          </w:p>
        </w:tc>
        <w:tc>
          <w:tcPr>
            <w:tcW w:w="2040" w:type="pct"/>
            <w:vAlign w:val="center"/>
          </w:tcPr>
          <w:p>
            <w:pPr>
              <w:spacing w:line="500" w:lineRule="exact"/>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按展馆布展进度要求提供不足材料并及时安装到位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pct"/>
            <w:vMerge w:val="continue"/>
            <w:vAlign w:val="center"/>
          </w:tcPr>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p>
        </w:tc>
        <w:tc>
          <w:tcPr>
            <w:tcW w:w="1604" w:type="pct"/>
            <w:vAlign w:val="center"/>
          </w:tcPr>
          <w:p>
            <w:pPr>
              <w:spacing w:line="5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监管保障</w:t>
            </w:r>
          </w:p>
        </w:tc>
        <w:tc>
          <w:tcPr>
            <w:tcW w:w="2040" w:type="pct"/>
            <w:vAlign w:val="center"/>
          </w:tcPr>
          <w:p>
            <w:pPr>
              <w:spacing w:line="500" w:lineRule="exact"/>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持续接管，发现隐患第一时间处置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pct"/>
            <w:vMerge w:val="continue"/>
            <w:vAlign w:val="center"/>
          </w:tcPr>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p>
        </w:tc>
        <w:tc>
          <w:tcPr>
            <w:tcW w:w="1604" w:type="pct"/>
            <w:vAlign w:val="center"/>
          </w:tcPr>
          <w:p>
            <w:pPr>
              <w:spacing w:line="5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归整入库</w:t>
            </w:r>
          </w:p>
        </w:tc>
        <w:tc>
          <w:tcPr>
            <w:tcW w:w="2040" w:type="pct"/>
            <w:vAlign w:val="center"/>
          </w:tcPr>
          <w:p>
            <w:pPr>
              <w:spacing w:line="500" w:lineRule="exact"/>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按不同的来源，归整入场馆运营库房或归整好</w:t>
            </w:r>
          </w:p>
        </w:tc>
      </w:tr>
    </w:tbl>
    <w:p>
      <w:pPr>
        <w:spacing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六、服务期限</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202</w:t>
      </w: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年11月12日至11月24日，期间服务进程按上述第三条“服务计划”的要求落实，若因展览布展工作需要，招标人应配合调整。</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注：本项目不组织集中答疑，若有疑问或需前往踏勘，请各供应商与展服智慧（厦门）物业服务有限公司廖滋文先生联系，联系电话：18950086879。</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sectPr>
          <w:headerReference r:id="rId3" w:type="default"/>
          <w:footerReference r:id="rId4" w:type="default"/>
          <w:pgSz w:w="11907" w:h="16860"/>
          <w:pgMar w:top="1418" w:right="1418" w:bottom="1418" w:left="1418" w:header="857" w:footer="999" w:gutter="0"/>
          <w:cols w:space="720" w:num="1"/>
          <w:docGrid w:linePitch="286" w:charSpace="0"/>
        </w:sectPr>
      </w:pPr>
    </w:p>
    <w:p>
      <w:pPr>
        <w:pStyle w:val="3"/>
        <w:keepNext w:val="0"/>
        <w:keepLines w:val="0"/>
        <w:spacing w:before="0" w:after="0" w:line="500" w:lineRule="exact"/>
        <w:jc w:val="center"/>
        <w:rPr>
          <w:rFonts w:ascii="仿宋" w:hAnsi="仿宋" w:eastAsia="仿宋"/>
          <w:color w:val="000000" w:themeColor="text1"/>
          <w:sz w:val="32"/>
          <w:highlight w:val="none"/>
          <w14:textFill>
            <w14:solidFill>
              <w14:schemeClr w14:val="tx1"/>
            </w14:solidFill>
          </w14:textFill>
        </w:rPr>
      </w:pPr>
      <w:bookmarkStart w:id="162" w:name="_Toc29484"/>
      <w:bookmarkStart w:id="163" w:name="_Toc16124"/>
      <w:r>
        <w:rPr>
          <w:rFonts w:hint="eastAsia" w:ascii="仿宋" w:hAnsi="仿宋" w:eastAsia="仿宋"/>
          <w:color w:val="000000" w:themeColor="text1"/>
          <w:sz w:val="32"/>
          <w:highlight w:val="none"/>
          <w14:textFill>
            <w14:solidFill>
              <w14:schemeClr w14:val="tx1"/>
            </w14:solidFill>
          </w14:textFill>
        </w:rPr>
        <w:t>第二节 商务技术响应要求</w:t>
      </w:r>
      <w:bookmarkEnd w:id="162"/>
      <w:bookmarkEnd w:id="163"/>
    </w:p>
    <w:p>
      <w:pPr>
        <w:spacing w:line="500" w:lineRule="exact"/>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一、商务要求</w:t>
      </w:r>
    </w:p>
    <w:p>
      <w:pPr>
        <w:numPr>
          <w:ilvl w:val="0"/>
          <w:numId w:val="0"/>
        </w:numPr>
        <w:spacing w:line="400" w:lineRule="exact"/>
        <w:ind w:left="-9" w:leftChars="0"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b/>
          <w:color w:val="000000" w:themeColor="text1"/>
          <w:sz w:val="28"/>
          <w:szCs w:val="28"/>
          <w:highlight w:val="none"/>
          <w14:textFill>
            <w14:solidFill>
              <w14:schemeClr w14:val="tx1"/>
            </w14:solidFill>
          </w14:textFill>
        </w:rPr>
        <w:t>投标人具有独立承担民事责任的能力，并具备参加招投标、政府采购活动的合法条件</w:t>
      </w:r>
      <w:r>
        <w:rPr>
          <w:rFonts w:hint="eastAsia" w:ascii="仿宋" w:hAnsi="仿宋" w:eastAsia="仿宋" w:cs="仿宋"/>
          <w:b/>
          <w:color w:val="000000" w:themeColor="text1"/>
          <w:sz w:val="28"/>
          <w:szCs w:val="28"/>
          <w:highlight w:val="none"/>
          <w:lang w:eastAsia="zh-CN"/>
          <w14:textFill>
            <w14:solidFill>
              <w14:schemeClr w14:val="tx1"/>
            </w14:solidFill>
          </w14:textFill>
        </w:rPr>
        <w:t>，</w:t>
      </w:r>
      <w:r>
        <w:rPr>
          <w:rFonts w:hint="eastAsia" w:ascii="仿宋" w:hAnsi="仿宋" w:eastAsia="仿宋" w:cs="仿宋"/>
          <w:b/>
          <w:color w:val="000000" w:themeColor="text1"/>
          <w:sz w:val="28"/>
          <w:szCs w:val="28"/>
          <w:highlight w:val="none"/>
          <w:lang w:val="en-US" w:eastAsia="zh-CN"/>
          <w14:textFill>
            <w14:solidFill>
              <w14:schemeClr w14:val="tx1"/>
            </w14:solidFill>
          </w14:textFill>
        </w:rPr>
        <w:t>营业范围应有电气施工、工程施工、技术服务、消防技术咨询服务等其中一项；投标人注册资金100万元及以上，注册年限2年及以上（截止至开标当日）。</w:t>
      </w:r>
      <w:r>
        <w:rPr>
          <w:rFonts w:hint="eastAsia" w:ascii="仿宋" w:hAnsi="仿宋" w:eastAsia="仿宋" w:cs="仿宋"/>
          <w:b/>
          <w:color w:val="000000" w:themeColor="text1"/>
          <w:sz w:val="28"/>
          <w:szCs w:val="28"/>
          <w:highlight w:val="none"/>
          <w14:textFill>
            <w14:solidFill>
              <w14:schemeClr w14:val="tx1"/>
            </w14:solidFill>
          </w14:textFill>
        </w:rPr>
        <w:t>投标人必须提供</w:t>
      </w:r>
      <w:r>
        <w:rPr>
          <w:rFonts w:hint="eastAsia" w:ascii="仿宋" w:hAnsi="仿宋" w:eastAsia="仿宋" w:cs="仿宋"/>
          <w:b/>
          <w:color w:val="000000" w:themeColor="text1"/>
          <w:sz w:val="28"/>
          <w:szCs w:val="28"/>
          <w:highlight w:val="none"/>
          <w:lang w:val="en-US" w:eastAsia="zh-CN"/>
          <w14:textFill>
            <w14:solidFill>
              <w14:schemeClr w14:val="tx1"/>
            </w14:solidFill>
          </w14:textFill>
        </w:rPr>
        <w:t>有效的</w:t>
      </w:r>
      <w:r>
        <w:rPr>
          <w:rFonts w:hint="eastAsia" w:ascii="仿宋" w:hAnsi="仿宋" w:eastAsia="仿宋" w:cs="仿宋"/>
          <w:b/>
          <w:color w:val="000000" w:themeColor="text1"/>
          <w:sz w:val="28"/>
          <w:szCs w:val="28"/>
          <w:highlight w:val="none"/>
          <w14:textFill>
            <w14:solidFill>
              <w14:schemeClr w14:val="tx1"/>
            </w14:solidFill>
          </w14:textFill>
        </w:rPr>
        <w:t>企业法人营业执照（副本）复印件。</w:t>
      </w:r>
    </w:p>
    <w:p>
      <w:pPr>
        <w:numPr>
          <w:ilvl w:val="0"/>
          <w:numId w:val="0"/>
        </w:numPr>
        <w:spacing w:line="400" w:lineRule="exact"/>
        <w:ind w:left="-9" w:leftChars="0" w:firstLine="562" w:firstLineChars="20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2、</w:t>
      </w:r>
      <w:r>
        <w:rPr>
          <w:rFonts w:hint="eastAsia" w:ascii="仿宋" w:hAnsi="仿宋" w:eastAsia="仿宋" w:cs="仿宋"/>
          <w:b/>
          <w:color w:val="000000" w:themeColor="text1"/>
          <w:sz w:val="28"/>
          <w:szCs w:val="28"/>
          <w:highlight w:val="none"/>
          <w14:textFill>
            <w14:solidFill>
              <w14:schemeClr w14:val="tx1"/>
            </w14:solidFill>
          </w14:textFill>
        </w:rPr>
        <w:t>投标人代表不是法定代表人的，应提供法定代表人授权书原件，以及投标人代表的身份证复印件。</w:t>
      </w:r>
    </w:p>
    <w:p>
      <w:pPr>
        <w:spacing w:line="400" w:lineRule="exact"/>
        <w:ind w:firstLine="562" w:firstLineChars="200"/>
        <w:rPr>
          <w:rFonts w:hint="eastAsia" w:ascii="仿宋" w:hAnsi="仿宋" w:eastAsia="仿宋" w:cs="仿宋"/>
          <w:b w:val="0"/>
          <w:bCs/>
          <w:color w:val="000000" w:themeColor="text1"/>
          <w:sz w:val="28"/>
          <w:szCs w:val="28"/>
          <w:highlight w:val="none"/>
          <w:lang w:eastAsia="zh-CN"/>
          <w14:textFill>
            <w14:solidFill>
              <w14:schemeClr w14:val="tx1"/>
            </w14:solidFill>
          </w14:textFill>
        </w:rPr>
      </w:pPr>
      <w: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t>3、</w:t>
      </w:r>
      <w:r>
        <w:rPr>
          <w:rFonts w:hint="eastAsia" w:ascii="仿宋" w:hAnsi="仿宋" w:eastAsia="仿宋" w:cs="仿宋"/>
          <w:b/>
          <w:bCs w:val="0"/>
          <w:color w:val="000000" w:themeColor="text1"/>
          <w:sz w:val="28"/>
          <w:szCs w:val="28"/>
          <w:highlight w:val="none"/>
          <w14:textFill>
            <w14:solidFill>
              <w14:schemeClr w14:val="tx1"/>
            </w14:solidFill>
          </w14:textFill>
        </w:rPr>
        <w:t>★</w:t>
      </w:r>
      <w:r>
        <w:rPr>
          <w:rFonts w:hint="eastAsia" w:ascii="仿宋" w:hAnsi="仿宋" w:eastAsia="仿宋" w:cs="仿宋"/>
          <w:b/>
          <w:bCs w:val="0"/>
          <w:snapToGrid w:val="0"/>
          <w:color w:val="000000" w:themeColor="text1"/>
          <w:sz w:val="28"/>
          <w:szCs w:val="28"/>
          <w:highlight w:val="none"/>
          <w14:textFill>
            <w14:solidFill>
              <w14:schemeClr w14:val="tx1"/>
            </w14:solidFill>
          </w14:textFill>
        </w:rPr>
        <w:t>投标</w:t>
      </w:r>
      <w:r>
        <w:rPr>
          <w:rFonts w:hint="eastAsia" w:ascii="仿宋" w:hAnsi="仿宋" w:eastAsia="仿宋" w:cs="仿宋"/>
          <w:b/>
          <w:bCs w:val="0"/>
          <w:snapToGrid w:val="0"/>
          <w:color w:val="000000" w:themeColor="text1"/>
          <w:sz w:val="28"/>
          <w:szCs w:val="28"/>
          <w:highlight w:val="none"/>
          <w:lang w:val="en-US" w:eastAsia="zh-CN"/>
          <w14:textFill>
            <w14:solidFill>
              <w14:schemeClr w14:val="tx1"/>
            </w14:solidFill>
          </w14:textFill>
        </w:rPr>
        <w:t>人作出书面声明：</w:t>
      </w:r>
      <w:r>
        <w:rPr>
          <w:rFonts w:hint="eastAsia" w:ascii="仿宋" w:hAnsi="仿宋" w:eastAsia="仿宋" w:cs="仿宋"/>
          <w:b/>
          <w:bCs w:val="0"/>
          <w:snapToGrid w:val="0"/>
          <w:color w:val="000000" w:themeColor="text1"/>
          <w:sz w:val="28"/>
          <w:szCs w:val="28"/>
          <w:highlight w:val="none"/>
          <w14:textFill>
            <w14:solidFill>
              <w14:schemeClr w14:val="tx1"/>
            </w14:solidFill>
          </w14:textFill>
        </w:rPr>
        <w:t>未被列入“信用中国”网(</w:t>
      </w:r>
      <w:r>
        <w:rPr>
          <w:rFonts w:hint="eastAsia" w:ascii="仿宋" w:hAnsi="仿宋" w:eastAsia="仿宋" w:cs="仿宋"/>
          <w:b/>
          <w:bCs w:val="0"/>
          <w:color w:val="000000" w:themeColor="text1"/>
          <w:sz w:val="28"/>
          <w:szCs w:val="28"/>
          <w:highlight w:val="none"/>
          <w14:textFill>
            <w14:solidFill>
              <w14:schemeClr w14:val="tx1"/>
            </w14:solidFill>
          </w14:textFill>
        </w:rPr>
        <w:fldChar w:fldCharType="begin"/>
      </w:r>
      <w:r>
        <w:rPr>
          <w:rFonts w:hint="eastAsia" w:ascii="仿宋" w:hAnsi="仿宋" w:eastAsia="仿宋" w:cs="仿宋"/>
          <w:b/>
          <w:bCs w:val="0"/>
          <w:color w:val="000000" w:themeColor="text1"/>
          <w:sz w:val="28"/>
          <w:szCs w:val="28"/>
          <w:highlight w:val="none"/>
          <w14:textFill>
            <w14:solidFill>
              <w14:schemeClr w14:val="tx1"/>
            </w14:solidFill>
          </w14:textFill>
        </w:rPr>
        <w:instrText xml:space="preserve"> HYPERLINK "http://www.creditchina.gov.cn" </w:instrText>
      </w:r>
      <w:r>
        <w:rPr>
          <w:rFonts w:hint="eastAsia" w:ascii="仿宋" w:hAnsi="仿宋" w:eastAsia="仿宋" w:cs="仿宋"/>
          <w:b/>
          <w:bCs w:val="0"/>
          <w:color w:val="000000" w:themeColor="text1"/>
          <w:sz w:val="28"/>
          <w:szCs w:val="28"/>
          <w:highlight w:val="none"/>
          <w14:textFill>
            <w14:solidFill>
              <w14:schemeClr w14:val="tx1"/>
            </w14:solidFill>
          </w14:textFill>
        </w:rPr>
        <w:fldChar w:fldCharType="separate"/>
      </w:r>
      <w:r>
        <w:rPr>
          <w:rFonts w:hint="eastAsia" w:ascii="仿宋" w:hAnsi="仿宋" w:eastAsia="仿宋" w:cs="仿宋"/>
          <w:b/>
          <w:bCs w:val="0"/>
          <w:snapToGrid w:val="0"/>
          <w:color w:val="000000" w:themeColor="text1"/>
          <w:sz w:val="28"/>
          <w:szCs w:val="28"/>
          <w:highlight w:val="none"/>
          <w14:textFill>
            <w14:solidFill>
              <w14:schemeClr w14:val="tx1"/>
            </w14:solidFill>
          </w14:textFill>
        </w:rPr>
        <w:t>www.creditchina.gov.cn</w:t>
      </w:r>
      <w:r>
        <w:rPr>
          <w:rFonts w:hint="eastAsia" w:ascii="仿宋" w:hAnsi="仿宋" w:eastAsia="仿宋" w:cs="仿宋"/>
          <w:b/>
          <w:bCs w:val="0"/>
          <w:snapToGrid w:val="0"/>
          <w:color w:val="000000" w:themeColor="text1"/>
          <w:sz w:val="28"/>
          <w:szCs w:val="28"/>
          <w:highlight w:val="none"/>
          <w14:textFill>
            <w14:solidFill>
              <w14:schemeClr w14:val="tx1"/>
            </w14:solidFill>
          </w14:textFill>
        </w:rPr>
        <w:fldChar w:fldCharType="end"/>
      </w:r>
      <w:r>
        <w:rPr>
          <w:rFonts w:hint="eastAsia" w:ascii="仿宋" w:hAnsi="仿宋" w:eastAsia="仿宋" w:cs="仿宋"/>
          <w:b/>
          <w:bCs w:val="0"/>
          <w:snapToGrid w:val="0"/>
          <w:color w:val="000000" w:themeColor="text1"/>
          <w:sz w:val="28"/>
          <w:szCs w:val="28"/>
          <w:highlight w:val="none"/>
          <w14:textFill>
            <w14:solidFill>
              <w14:schemeClr w14:val="tx1"/>
            </w14:solidFill>
          </w14:textFill>
        </w:rPr>
        <w:t>)、中国政府采购网（http://www.ccgp.gov.cn/）失信被执行人、重大税收违法案件当事人名单、政府采购严重违法失信行为记录名单</w:t>
      </w:r>
      <w:r>
        <w:rPr>
          <w:rFonts w:hint="eastAsia" w:ascii="仿宋" w:hAnsi="仿宋" w:eastAsia="仿宋" w:cs="仿宋"/>
          <w:b/>
          <w:bCs w:val="0"/>
          <w:snapToGrid w:val="0"/>
          <w:color w:val="000000" w:themeColor="text1"/>
          <w:sz w:val="28"/>
          <w:szCs w:val="28"/>
          <w:highlight w:val="none"/>
          <w:lang w:eastAsia="zh-CN"/>
          <w14:textFill>
            <w14:solidFill>
              <w14:schemeClr w14:val="tx1"/>
            </w14:solidFill>
          </w14:textFill>
        </w:rPr>
        <w:t>，</w:t>
      </w:r>
      <w:r>
        <w:rPr>
          <w:rFonts w:hint="eastAsia" w:ascii="仿宋" w:hAnsi="仿宋" w:eastAsia="仿宋" w:cs="仿宋"/>
          <w:b/>
          <w:bCs w:val="0"/>
          <w:snapToGrid w:val="0"/>
          <w:color w:val="000000" w:themeColor="text1"/>
          <w:sz w:val="28"/>
          <w:szCs w:val="28"/>
          <w:highlight w:val="none"/>
          <w14:textFill>
            <w14:solidFill>
              <w14:schemeClr w14:val="tx1"/>
            </w14:solidFill>
          </w14:textFill>
        </w:rPr>
        <w:t>且尚</w:t>
      </w:r>
      <w:r>
        <w:rPr>
          <w:rFonts w:hint="eastAsia" w:ascii="仿宋" w:hAnsi="仿宋" w:eastAsia="仿宋" w:cs="仿宋"/>
          <w:b/>
          <w:bCs w:val="0"/>
          <w:snapToGrid w:val="0"/>
          <w:color w:val="000000" w:themeColor="text1"/>
          <w:sz w:val="28"/>
          <w:szCs w:val="28"/>
          <w:highlight w:val="none"/>
          <w:lang w:val="en-US" w:eastAsia="zh-CN"/>
          <w14:textFill>
            <w14:solidFill>
              <w14:schemeClr w14:val="tx1"/>
            </w14:solidFill>
          </w14:textFill>
        </w:rPr>
        <w:t>未</w:t>
      </w:r>
      <w:r>
        <w:rPr>
          <w:rFonts w:hint="eastAsia" w:ascii="仿宋" w:hAnsi="仿宋" w:eastAsia="仿宋" w:cs="仿宋"/>
          <w:b/>
          <w:bCs w:val="0"/>
          <w:snapToGrid w:val="0"/>
          <w:color w:val="000000" w:themeColor="text1"/>
          <w:sz w:val="28"/>
          <w:szCs w:val="28"/>
          <w:highlight w:val="none"/>
          <w14:textFill>
            <w14:solidFill>
              <w14:schemeClr w14:val="tx1"/>
            </w14:solidFill>
          </w14:textFill>
        </w:rPr>
        <w:t>处于禁止参加采购活动期内</w:t>
      </w:r>
      <w:r>
        <w:rPr>
          <w:rFonts w:hint="eastAsia" w:ascii="仿宋" w:hAnsi="仿宋" w:eastAsia="仿宋" w:cs="仿宋"/>
          <w:b/>
          <w:bCs w:val="0"/>
          <w:snapToGrid w:val="0"/>
          <w:color w:val="000000" w:themeColor="text1"/>
          <w:sz w:val="28"/>
          <w:szCs w:val="28"/>
          <w:highlight w:val="none"/>
          <w:lang w:eastAsia="zh-CN"/>
          <w14:textFill>
            <w14:solidFill>
              <w14:schemeClr w14:val="tx1"/>
            </w14:solidFill>
          </w14:textFill>
        </w:rPr>
        <w:t>。</w:t>
      </w:r>
    </w:p>
    <w:p>
      <w:pPr>
        <w:widowControl/>
        <w:adjustRightInd w:val="0"/>
        <w:snapToGrid w:val="0"/>
        <w:spacing w:before="60" w:beforeLines="25" w:after="60" w:afterLines="25" w:line="500" w:lineRule="exact"/>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二、技术要求</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1、投标人提供的服务方案必须满足招标人的实际需求，招标人不再支付因投标人方案不完整而引起的费用。</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投标人应在投标文件中对项目工作所需时间，工作内容、进度安排以及售后服务承诺</w:t>
      </w:r>
      <w:r>
        <w:rPr>
          <w:rFonts w:hint="eastAsia" w:ascii="仿宋" w:hAnsi="仿宋" w:eastAsia="仿宋"/>
          <w:color w:val="000000" w:themeColor="text1"/>
          <w:sz w:val="32"/>
          <w:szCs w:val="32"/>
          <w:highlight w:val="none"/>
          <w14:textFill>
            <w14:solidFill>
              <w14:schemeClr w14:val="tx1"/>
            </w14:solidFill>
          </w14:textFill>
        </w:rPr>
        <w:t>情况进行详细的书面说明及承诺。</w:t>
      </w:r>
    </w:p>
    <w:p>
      <w:pPr>
        <w:widowControl/>
        <w:adjustRightInd w:val="0"/>
        <w:snapToGrid w:val="0"/>
        <w:spacing w:before="60" w:beforeLines="25" w:after="60" w:afterLines="25" w:line="500" w:lineRule="exact"/>
        <w:ind w:firstLine="643" w:firstLineChars="20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若中标后未履行相关承诺，招标人有权扣除投标保证金和其他款项。</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4、</w:t>
      </w:r>
      <w:r>
        <w:rPr>
          <w:rFonts w:ascii="仿宋" w:hAnsi="仿宋" w:eastAsia="仿宋"/>
          <w:color w:val="000000" w:themeColor="text1"/>
          <w:sz w:val="32"/>
          <w:szCs w:val="32"/>
          <w:highlight w:val="none"/>
          <w14:textFill>
            <w14:solidFill>
              <w14:schemeClr w14:val="tx1"/>
            </w14:solidFill>
          </w14:textFill>
        </w:rPr>
        <w:t>投标人应拥有</w:t>
      </w:r>
      <w:r>
        <w:rPr>
          <w:rFonts w:hint="eastAsia" w:ascii="仿宋" w:hAnsi="仿宋" w:eastAsia="仿宋"/>
          <w:color w:val="000000" w:themeColor="text1"/>
          <w:sz w:val="32"/>
          <w:szCs w:val="32"/>
          <w:highlight w:val="none"/>
          <w:lang w:val="en-US" w:eastAsia="zh-CN"/>
          <w14:textFill>
            <w14:solidFill>
              <w14:schemeClr w14:val="tx1"/>
            </w14:solidFill>
          </w14:textFill>
        </w:rPr>
        <w:t>现场水电气接驳施工相关</w:t>
      </w:r>
      <w:r>
        <w:rPr>
          <w:rFonts w:ascii="仿宋" w:hAnsi="仿宋" w:eastAsia="仿宋"/>
          <w:color w:val="000000" w:themeColor="text1"/>
          <w:sz w:val="32"/>
          <w:szCs w:val="32"/>
          <w:highlight w:val="none"/>
          <w14:textFill>
            <w14:solidFill>
              <w14:schemeClr w14:val="tx1"/>
            </w14:solidFill>
          </w14:textFill>
        </w:rPr>
        <w:t>工具、设备，施工人员需持证上岗并已按国家有关规定缴纳相关保险费用。</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5、投标人须提交《作业安全承诺书》并加盖公章（详见附件）。</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w:t>
      </w:r>
      <w:r>
        <w:rPr>
          <w:rFonts w:ascii="仿宋" w:hAnsi="仿宋" w:eastAsia="仿宋"/>
          <w:color w:val="000000" w:themeColor="text1"/>
          <w:sz w:val="32"/>
          <w:szCs w:val="32"/>
          <w:highlight w:val="none"/>
          <w14:textFill>
            <w14:solidFill>
              <w14:schemeClr w14:val="tx1"/>
            </w14:solidFill>
          </w14:textFill>
        </w:rPr>
        <w:t>投标人应有类似本项</w:t>
      </w:r>
      <w:r>
        <w:rPr>
          <w:rFonts w:hint="eastAsia" w:ascii="仿宋" w:hAnsi="仿宋" w:eastAsia="仿宋"/>
          <w:color w:val="000000" w:themeColor="text1"/>
          <w:sz w:val="32"/>
          <w:szCs w:val="32"/>
          <w:highlight w:val="none"/>
          <w14:textFill>
            <w14:solidFill>
              <w14:schemeClr w14:val="tx1"/>
            </w14:solidFill>
          </w14:textFill>
        </w:rPr>
        <w:t>目</w:t>
      </w:r>
      <w:r>
        <w:rPr>
          <w:rFonts w:hint="eastAsia" w:ascii="仿宋" w:hAnsi="仿宋" w:eastAsia="仿宋"/>
          <w:color w:val="000000" w:themeColor="text1"/>
          <w:sz w:val="32"/>
          <w:szCs w:val="32"/>
          <w:highlight w:val="none"/>
          <w:lang w:val="en-US" w:eastAsia="zh-CN"/>
          <w14:textFill>
            <w14:solidFill>
              <w14:schemeClr w14:val="tx1"/>
            </w14:solidFill>
          </w14:textFill>
        </w:rPr>
        <w:t>现场水电气接驳服务作业</w:t>
      </w:r>
      <w:r>
        <w:rPr>
          <w:rFonts w:hint="eastAsia" w:ascii="仿宋" w:hAnsi="仿宋" w:eastAsia="仿宋"/>
          <w:color w:val="000000" w:themeColor="text1"/>
          <w:sz w:val="32"/>
          <w:szCs w:val="32"/>
          <w:highlight w:val="none"/>
          <w14:textFill>
            <w14:solidFill>
              <w14:schemeClr w14:val="tx1"/>
            </w14:solidFill>
          </w14:textFill>
        </w:rPr>
        <w:t>经验，在近几年没有发生过安全质量事故。</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7、严格执行服务承诺。</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8、中标人应严格依据投标文件所做承诺履行职责，如有违约，招标人有权根据协议、合同采取措施追究违约方的违约责任。</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9、中标人应当按照合同约定履行义务，不得将本项目（转包）给他人，一经发现，招标人有权立即终止合同，并追究中标人的违约责任和要求赔偿。</w:t>
      </w:r>
    </w:p>
    <w:p>
      <w:pPr>
        <w:pStyle w:val="3"/>
        <w:keepNext w:val="0"/>
        <w:keepLines w:val="0"/>
        <w:spacing w:before="0" w:after="0" w:line="500" w:lineRule="exact"/>
        <w:jc w:val="center"/>
        <w:rPr>
          <w:rFonts w:ascii="仿宋" w:hAnsi="仿宋" w:eastAsia="仿宋"/>
          <w:color w:val="000000" w:themeColor="text1"/>
          <w:sz w:val="32"/>
          <w:highlight w:val="none"/>
          <w14:textFill>
            <w14:solidFill>
              <w14:schemeClr w14:val="tx1"/>
            </w14:solidFill>
          </w14:textFill>
        </w:rPr>
      </w:pPr>
      <w:bookmarkStart w:id="164" w:name="_Toc10625"/>
      <w:bookmarkStart w:id="165" w:name="_Toc468718876"/>
      <w:bookmarkStart w:id="166" w:name="_Toc19615"/>
      <w:r>
        <w:rPr>
          <w:rFonts w:hint="eastAsia" w:ascii="仿宋" w:hAnsi="仿宋" w:eastAsia="仿宋"/>
          <w:color w:val="000000" w:themeColor="text1"/>
          <w:sz w:val="32"/>
          <w:highlight w:val="none"/>
          <w14:textFill>
            <w14:solidFill>
              <w14:schemeClr w14:val="tx1"/>
            </w14:solidFill>
          </w14:textFill>
        </w:rPr>
        <w:t>第三节 报价要求</w:t>
      </w:r>
      <w:bookmarkEnd w:id="164"/>
      <w:bookmarkEnd w:id="165"/>
      <w:bookmarkEnd w:id="166"/>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bookmarkStart w:id="167" w:name="_Toc468718878"/>
      <w:bookmarkStart w:id="168" w:name="_Toc306290240"/>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、报价以人民币为货币单位，应分单价、小计和总价。</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w:t>
      </w:r>
      <w:r>
        <w:rPr>
          <w:rFonts w:hint="eastAsia" w:ascii="仿宋" w:hAnsi="仿宋" w:eastAsia="仿宋"/>
          <w:color w:val="000000" w:themeColor="text1"/>
          <w:sz w:val="32"/>
          <w:szCs w:val="32"/>
          <w:highlight w:val="none"/>
          <w14:textFill>
            <w14:solidFill>
              <w14:schemeClr w14:val="tx1"/>
            </w14:solidFill>
          </w14:textFill>
        </w:rPr>
        <w:t>、投标报价应包含但不限于以下费用：工具费、耗材费、保险费、人工费等，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、中标人在提供服务的过程中，若出现安全事故，其责任及相应的赔偿均由中标人承担，</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招</w:t>
      </w:r>
      <w:r>
        <w:rPr>
          <w:rFonts w:hint="eastAsia" w:ascii="仿宋" w:hAnsi="仿宋" w:eastAsia="仿宋" w:cs="Times New Roman"/>
          <w:color w:val="000000" w:themeColor="text1"/>
          <w:sz w:val="32"/>
          <w:szCs w:val="32"/>
          <w:highlight w:val="none"/>
          <w14:textFill>
            <w14:solidFill>
              <w14:schemeClr w14:val="tx1"/>
            </w14:solidFill>
          </w14:textFill>
        </w:rPr>
        <w:t>标</w:t>
      </w:r>
      <w:r>
        <w:rPr>
          <w:rFonts w:hint="eastAsia" w:ascii="仿宋" w:hAnsi="仿宋" w:eastAsia="仿宋"/>
          <w:color w:val="000000" w:themeColor="text1"/>
          <w:sz w:val="32"/>
          <w:szCs w:val="32"/>
          <w:highlight w:val="none"/>
          <w14:textFill>
            <w14:solidFill>
              <w14:schemeClr w14:val="tx1"/>
            </w14:solidFill>
          </w14:textFill>
        </w:rPr>
        <w:t>人不承担所有责任及义务。</w:t>
      </w:r>
    </w:p>
    <w:p>
      <w:pPr>
        <w:spacing w:line="480" w:lineRule="exact"/>
        <w:ind w:firstLine="640" w:firstLineChars="200"/>
        <w:rPr>
          <w:rFonts w:ascii="仿宋" w:hAnsi="仿宋" w:eastAsia="仿宋"/>
          <w:strike w:val="0"/>
          <w:dstrike w:val="0"/>
          <w:color w:val="000000" w:themeColor="text1"/>
          <w:sz w:val="32"/>
          <w:szCs w:val="32"/>
          <w:highlight w:val="none"/>
          <w14:textFill>
            <w14:solidFill>
              <w14:schemeClr w14:val="tx1"/>
            </w14:solidFill>
          </w14:textFill>
        </w:rPr>
      </w:pPr>
      <w:r>
        <w:rPr>
          <w:rFonts w:hint="eastAsia" w:ascii="仿宋" w:hAnsi="仿宋" w:eastAsia="仿宋"/>
          <w:strike w:val="0"/>
          <w:dstrike w:val="0"/>
          <w:color w:val="000000" w:themeColor="text1"/>
          <w:sz w:val="32"/>
          <w:szCs w:val="32"/>
          <w:highlight w:val="none"/>
          <w14:textFill>
            <w14:solidFill>
              <w14:schemeClr w14:val="tx1"/>
            </w14:solidFill>
          </w14:textFill>
        </w:rPr>
        <w:t>6、</w:t>
      </w:r>
      <w:bookmarkEnd w:id="167"/>
      <w:bookmarkEnd w:id="168"/>
      <w:r>
        <w:rPr>
          <w:rFonts w:hint="eastAsia" w:ascii="仿宋" w:hAnsi="仿宋" w:eastAsia="仿宋"/>
          <w:strike w:val="0"/>
          <w:dstrike w:val="0"/>
          <w:color w:val="000000" w:themeColor="text1"/>
          <w:sz w:val="32"/>
          <w:szCs w:val="32"/>
          <w:highlight w:val="none"/>
          <w14:textFill>
            <w14:solidFill>
              <w14:schemeClr w14:val="tx1"/>
            </w14:solidFill>
          </w14:textFill>
        </w:rPr>
        <w:t>履约保证金：</w:t>
      </w:r>
      <w:r>
        <w:rPr>
          <w:rFonts w:hint="eastAsia" w:ascii="仿宋" w:hAnsi="仿宋" w:eastAsia="仿宋"/>
          <w:color w:val="000000" w:themeColor="text1"/>
          <w:sz w:val="32"/>
          <w:szCs w:val="32"/>
          <w:highlight w:val="none"/>
          <w14:textFill>
            <w14:solidFill>
              <w14:schemeClr w14:val="tx1"/>
            </w14:solidFill>
          </w14:textFill>
        </w:rPr>
        <w:t>中标人在收到中标通知书后签订采购合同，原投标保证金直接作为合同履约保证金。履约保证金在双方合同终止、交接清楚、质保期（或保修期）结束和债权债务等关系理顺后30日历天内无息返还。</w:t>
      </w:r>
    </w:p>
    <w:bookmarkEnd w:id="8"/>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bookmarkStart w:id="169" w:name="_Toc25453"/>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hint="eastAsia" w:ascii="仿宋" w:hAnsi="仿宋" w:eastAsia="仿宋"/>
          <w:color w:val="000000" w:themeColor="text1"/>
          <w:highlight w:val="none"/>
          <w14:textFill>
            <w14:solidFill>
              <w14:schemeClr w14:val="tx1"/>
            </w14:solidFill>
          </w14:textFill>
        </w:rPr>
      </w:pPr>
    </w:p>
    <w:p>
      <w:pPr>
        <w:pStyle w:val="2"/>
        <w:keepNext w:val="0"/>
        <w:keepLines w:val="0"/>
        <w:spacing w:before="0" w:after="0" w:line="500" w:lineRule="exact"/>
        <w:jc w:val="center"/>
        <w:rPr>
          <w:rFonts w:ascii="仿宋" w:hAnsi="仿宋" w:eastAsia="仿宋"/>
          <w:color w:val="000000" w:themeColor="text1"/>
          <w:highlight w:val="none"/>
          <w14:textFill>
            <w14:solidFill>
              <w14:schemeClr w14:val="tx1"/>
            </w14:solidFill>
          </w14:textFill>
        </w:rPr>
      </w:pPr>
      <w:bookmarkStart w:id="170" w:name="_Toc10083"/>
      <w:r>
        <w:rPr>
          <w:rFonts w:hint="eastAsia" w:ascii="仿宋" w:hAnsi="仿宋" w:eastAsia="仿宋"/>
          <w:color w:val="000000" w:themeColor="text1"/>
          <w:highlight w:val="none"/>
          <w14:textFill>
            <w14:solidFill>
              <w14:schemeClr w14:val="tx1"/>
            </w14:solidFill>
          </w14:textFill>
        </w:rPr>
        <w:t>第四章  投标文件格式</w:t>
      </w:r>
      <w:bookmarkEnd w:id="169"/>
      <w:bookmarkEnd w:id="170"/>
    </w:p>
    <w:p>
      <w:pPr>
        <w:rPr>
          <w:color w:val="000000" w:themeColor="text1"/>
          <w:highlight w:val="none"/>
          <w14:textFill>
            <w14:solidFill>
              <w14:schemeClr w14:val="tx1"/>
            </w14:solidFill>
          </w14:textFill>
        </w:rPr>
      </w:pPr>
    </w:p>
    <w:p>
      <w:pPr>
        <w:spacing w:line="360" w:lineRule="auto"/>
        <w:jc w:val="center"/>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（本章格式文件可供参考，投标人可根据项目实际需求进行编制）</w:t>
      </w:r>
    </w:p>
    <w:p>
      <w:pPr>
        <w:pStyle w:val="25"/>
        <w:spacing w:line="360" w:lineRule="auto"/>
        <w:rPr>
          <w:rFonts w:ascii="仿宋" w:hAnsi="仿宋" w:eastAsia="仿宋"/>
          <w:color w:val="000000" w:themeColor="text1"/>
          <w:highlight w:val="none"/>
          <w14:textFill>
            <w14:solidFill>
              <w14:schemeClr w14:val="tx1"/>
            </w14:solidFill>
          </w14:textFill>
        </w:rPr>
      </w:pPr>
    </w:p>
    <w:p>
      <w:pPr>
        <w:pStyle w:val="25"/>
        <w:spacing w:line="360" w:lineRule="auto"/>
        <w:jc w:val="center"/>
        <w:rPr>
          <w:rFonts w:hint="eastAsia" w:ascii="仿宋" w:hAnsi="仿宋" w:eastAsia="仿宋"/>
          <w:color w:val="000000" w:themeColor="text1"/>
          <w:sz w:val="32"/>
          <w:szCs w:val="32"/>
          <w:highlight w:val="none"/>
          <w14:textFill>
            <w14:solidFill>
              <w14:schemeClr w14:val="tx1"/>
            </w14:solidFill>
          </w14:textFill>
        </w:rPr>
      </w:pPr>
    </w:p>
    <w:p>
      <w:pPr>
        <w:pStyle w:val="25"/>
        <w:jc w:val="center"/>
        <w:rPr>
          <w:rFonts w:ascii="仿宋" w:hAnsi="仿宋" w:eastAsia="仿宋"/>
          <w:b/>
          <w:color w:val="000000" w:themeColor="text1"/>
          <w:sz w:val="7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封面）</w:t>
      </w:r>
    </w:p>
    <w:p>
      <w:pPr>
        <w:spacing w:line="360" w:lineRule="auto"/>
        <w:jc w:val="center"/>
        <w:rPr>
          <w:rFonts w:ascii="仿宋" w:hAnsi="仿宋" w:eastAsia="仿宋"/>
          <w:b/>
          <w:color w:val="000000" w:themeColor="text1"/>
          <w:sz w:val="72"/>
          <w:highlight w:val="none"/>
          <w14:textFill>
            <w14:solidFill>
              <w14:schemeClr w14:val="tx1"/>
            </w14:solidFill>
          </w14:textFill>
        </w:rPr>
      </w:pPr>
      <w:r>
        <w:rPr>
          <w:rFonts w:hint="eastAsia" w:ascii="仿宋" w:hAnsi="仿宋" w:eastAsia="仿宋"/>
          <w:b/>
          <w:color w:val="000000" w:themeColor="text1"/>
          <w:sz w:val="72"/>
          <w:highlight w:val="none"/>
          <w14:textFill>
            <w14:solidFill>
              <w14:schemeClr w14:val="tx1"/>
            </w14:solidFill>
          </w14:textFill>
        </w:rPr>
        <w:t>投  标  文  件</w:t>
      </w:r>
    </w:p>
    <w:p>
      <w:pPr>
        <w:spacing w:line="360" w:lineRule="auto"/>
        <w:rPr>
          <w:rFonts w:ascii="仿宋" w:hAnsi="仿宋" w:eastAsia="仿宋"/>
          <w:b/>
          <w:color w:val="000000" w:themeColor="text1"/>
          <w:sz w:val="36"/>
          <w:highlight w:val="none"/>
          <w14:textFill>
            <w14:solidFill>
              <w14:schemeClr w14:val="tx1"/>
            </w14:solidFill>
          </w14:textFill>
        </w:rPr>
      </w:pPr>
    </w:p>
    <w:p>
      <w:pPr>
        <w:spacing w:line="360" w:lineRule="auto"/>
        <w:ind w:firstLine="1084" w:firstLineChars="300"/>
        <w:rPr>
          <w:rFonts w:ascii="仿宋" w:hAnsi="仿宋" w:eastAsia="仿宋"/>
          <w:b/>
          <w:color w:val="000000" w:themeColor="text1"/>
          <w:sz w:val="36"/>
          <w:highlight w:val="non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项 目 名 称：</w:t>
      </w:r>
    </w:p>
    <w:p>
      <w:pPr>
        <w:spacing w:line="360" w:lineRule="auto"/>
        <w:ind w:firstLine="1084" w:firstLineChars="300"/>
        <w:rPr>
          <w:rFonts w:ascii="仿宋" w:hAnsi="仿宋" w:eastAsia="仿宋"/>
          <w:b/>
          <w:color w:val="000000" w:themeColor="text1"/>
          <w:sz w:val="36"/>
          <w:highlight w:val="none"/>
          <w:u w:val="singl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招 标 编 号：</w:t>
      </w:r>
    </w:p>
    <w:p>
      <w:pPr>
        <w:spacing w:line="360" w:lineRule="auto"/>
        <w:rPr>
          <w:rFonts w:ascii="仿宋" w:hAnsi="仿宋" w:eastAsia="仿宋"/>
          <w:b/>
          <w:color w:val="000000" w:themeColor="text1"/>
          <w:sz w:val="36"/>
          <w:highlight w:val="none"/>
          <w14:textFill>
            <w14:solidFill>
              <w14:schemeClr w14:val="tx1"/>
            </w14:solidFill>
          </w14:textFill>
        </w:rPr>
      </w:pPr>
    </w:p>
    <w:p>
      <w:pPr>
        <w:spacing w:line="360" w:lineRule="auto"/>
        <w:rPr>
          <w:rFonts w:ascii="仿宋" w:hAnsi="仿宋" w:eastAsia="仿宋"/>
          <w:b/>
          <w:color w:val="000000" w:themeColor="text1"/>
          <w:sz w:val="36"/>
          <w:highlight w:val="none"/>
          <w14:textFill>
            <w14:solidFill>
              <w14:schemeClr w14:val="tx1"/>
            </w14:solidFill>
          </w14:textFill>
        </w:rPr>
      </w:pPr>
    </w:p>
    <w:p>
      <w:pPr>
        <w:spacing w:line="360" w:lineRule="auto"/>
        <w:rPr>
          <w:rFonts w:ascii="仿宋" w:hAnsi="仿宋" w:eastAsia="仿宋"/>
          <w:b/>
          <w:color w:val="000000" w:themeColor="text1"/>
          <w:sz w:val="36"/>
          <w:highlight w:val="none"/>
          <w:u w:val="singl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 xml:space="preserve">       投标人名称 ：</w:t>
      </w:r>
    </w:p>
    <w:p>
      <w:pPr>
        <w:spacing w:line="360" w:lineRule="auto"/>
        <w:rPr>
          <w:rFonts w:ascii="仿宋" w:hAnsi="仿宋" w:eastAsia="仿宋"/>
          <w:b/>
          <w:color w:val="000000" w:themeColor="text1"/>
          <w:sz w:val="36"/>
          <w:highlight w:val="none"/>
          <w14:textFill>
            <w14:solidFill>
              <w14:schemeClr w14:val="tx1"/>
            </w14:solidFill>
          </w14:textFill>
        </w:rPr>
      </w:pPr>
      <w:r>
        <w:rPr>
          <w:rFonts w:hint="eastAsia" w:ascii="仿宋" w:hAnsi="仿宋" w:eastAsia="仿宋"/>
          <w:b/>
          <w:color w:val="000000" w:themeColor="text1"/>
          <w:sz w:val="36"/>
          <w:highlight w:val="none"/>
          <w14:textFill>
            <w14:solidFill>
              <w14:schemeClr w14:val="tx1"/>
            </w14:solidFill>
          </w14:textFill>
        </w:rPr>
        <w:t xml:space="preserve">       日      期 ：</w:t>
      </w:r>
    </w:p>
    <w:p>
      <w:pPr>
        <w:pStyle w:val="26"/>
        <w:spacing w:line="360" w:lineRule="auto"/>
        <w:jc w:val="left"/>
        <w:rPr>
          <w:rFonts w:ascii="仿宋" w:hAnsi="仿宋" w:eastAsia="仿宋"/>
          <w:b/>
          <w:color w:val="000000" w:themeColor="text1"/>
          <w:sz w:val="24"/>
          <w:highlight w:val="none"/>
          <w14:textFill>
            <w14:solidFill>
              <w14:schemeClr w14:val="tx1"/>
            </w14:solidFill>
          </w14:textFill>
        </w:rPr>
      </w:pPr>
    </w:p>
    <w:p>
      <w:pPr>
        <w:pStyle w:val="26"/>
        <w:spacing w:line="360" w:lineRule="auto"/>
        <w:jc w:val="left"/>
        <w:rPr>
          <w:rFonts w:ascii="仿宋" w:hAnsi="仿宋" w:eastAsia="仿宋"/>
          <w:b/>
          <w:color w:val="000000" w:themeColor="text1"/>
          <w:sz w:val="24"/>
          <w:highlight w:val="none"/>
          <w14:textFill>
            <w14:solidFill>
              <w14:schemeClr w14:val="tx1"/>
            </w14:solidFill>
          </w14:textFill>
        </w:rPr>
      </w:pPr>
    </w:p>
    <w:p>
      <w:pPr>
        <w:pStyle w:val="5"/>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pPr>
        <w:pStyle w:val="5"/>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pPr>
        <w:pStyle w:val="5"/>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pPr>
        <w:pStyle w:val="5"/>
        <w:snapToGrid w:val="0"/>
        <w:spacing w:line="360" w:lineRule="auto"/>
        <w:ind w:left="0" w:firstLine="3855" w:firstLineChars="1200"/>
        <w:jc w:val="both"/>
        <w:rPr>
          <w:rFonts w:ascii="仿宋" w:hAnsi="仿宋" w:eastAsia="仿宋"/>
          <w:b/>
          <w:bCs/>
          <w:color w:val="000000" w:themeColor="text1"/>
          <w:sz w:val="32"/>
          <w:highlight w:val="none"/>
          <w:lang w:eastAsia="zh-CN"/>
          <w14:textFill>
            <w14:solidFill>
              <w14:schemeClr w14:val="tx1"/>
            </w14:solidFill>
          </w14:textFill>
        </w:rPr>
      </w:pPr>
    </w:p>
    <w:p>
      <w:pPr>
        <w:snapToGrid w:val="0"/>
        <w:spacing w:line="360" w:lineRule="auto"/>
        <w:ind w:left="0"/>
        <w:jc w:val="both"/>
        <w:rPr>
          <w:rFonts w:ascii="仿宋" w:hAnsi="仿宋" w:eastAsia="仿宋"/>
          <w:b/>
          <w:bCs/>
          <w:color w:val="000000" w:themeColor="text1"/>
          <w:sz w:val="32"/>
          <w:highlight w:val="none"/>
          <w:lang w:eastAsia="zh-CN"/>
          <w14:textFill>
            <w14:solidFill>
              <w14:schemeClr w14:val="tx1"/>
            </w14:solidFill>
          </w14:textFill>
        </w:rPr>
      </w:pPr>
      <w:r>
        <w:rPr>
          <w:rFonts w:ascii="仿宋" w:hAnsi="仿宋" w:eastAsia="仿宋"/>
          <w:b/>
          <w:bCs/>
          <w:color w:val="000000" w:themeColor="text1"/>
          <w:sz w:val="32"/>
          <w:highlight w:val="none"/>
          <w:lang w:eastAsia="zh-CN"/>
          <w14:textFill>
            <w14:solidFill>
              <w14:schemeClr w14:val="tx1"/>
            </w14:solidFill>
          </w14:textFill>
        </w:rPr>
        <w:br w:type="page"/>
      </w:r>
    </w:p>
    <w:p>
      <w:pPr>
        <w:pStyle w:val="5"/>
        <w:snapToGrid w:val="0"/>
        <w:spacing w:line="500" w:lineRule="exact"/>
        <w:ind w:left="0" w:firstLine="0" w:firstLineChars="0"/>
        <w:jc w:val="center"/>
        <w:rPr>
          <w:rFonts w:ascii="仿宋" w:hAnsi="仿宋" w:eastAsia="仿宋"/>
          <w:b/>
          <w:bCs/>
          <w:color w:val="000000" w:themeColor="text1"/>
          <w:sz w:val="32"/>
          <w:szCs w:val="32"/>
          <w:highlight w:val="none"/>
          <w:lang w:eastAsia="zh-CN"/>
          <w14:textFill>
            <w14:solidFill>
              <w14:schemeClr w14:val="tx1"/>
            </w14:solidFill>
          </w14:textFill>
        </w:rPr>
      </w:pPr>
      <w:r>
        <w:rPr>
          <w:rFonts w:hint="eastAsia" w:ascii="仿宋" w:hAnsi="仿宋" w:eastAsia="仿宋"/>
          <w:b/>
          <w:bCs/>
          <w:color w:val="000000" w:themeColor="text1"/>
          <w:sz w:val="32"/>
          <w:szCs w:val="32"/>
          <w:highlight w:val="none"/>
          <w:lang w:eastAsia="zh-CN"/>
          <w14:textFill>
            <w14:solidFill>
              <w14:schemeClr w14:val="tx1"/>
            </w14:solidFill>
          </w14:textFill>
        </w:rPr>
        <w:t>目    录</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投 标 书</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开标一览表</w:t>
      </w:r>
    </w:p>
    <w:p>
      <w:pPr>
        <w:spacing w:before="120" w:beforeLines="50" w:after="120" w:afterLines="50" w:line="240" w:lineRule="auto"/>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lang w:val="en-US" w:eastAsia="zh-CN"/>
          <w14:textFill>
            <w14:solidFill>
              <w14:schemeClr w14:val="tx1"/>
            </w14:solidFill>
          </w14:textFill>
        </w:rPr>
        <w:t>投标人业绩证明</w:t>
      </w:r>
    </w:p>
    <w:p>
      <w:pPr>
        <w:spacing w:before="120" w:beforeLines="50" w:after="120" w:afterLines="50" w:line="240" w:lineRule="auto"/>
        <w:jc w:val="both"/>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 xml:space="preserve">4. </w:t>
      </w:r>
      <w:r>
        <w:rPr>
          <w:rFonts w:hint="eastAsia" w:ascii="仿宋" w:hAnsi="仿宋" w:eastAsia="仿宋" w:cs="Times New Roman"/>
          <w:b w:val="0"/>
          <w:bCs w:val="0"/>
          <w:color w:val="000000" w:themeColor="text1"/>
          <w:sz w:val="32"/>
          <w:szCs w:val="32"/>
          <w:highlight w:val="none"/>
          <w14:textFill>
            <w14:solidFill>
              <w14:schemeClr w14:val="tx1"/>
            </w14:solidFill>
          </w14:textFill>
        </w:rPr>
        <w:t>智慧电箱及监测云平台技术</w:t>
      </w:r>
      <w:r>
        <w:rPr>
          <w:rFonts w:hint="eastAsia" w:ascii="仿宋" w:hAnsi="仿宋" w:eastAsia="仿宋" w:cs="Times New Roman"/>
          <w:b w:val="0"/>
          <w:bCs w:val="0"/>
          <w:color w:val="000000" w:themeColor="text1"/>
          <w:sz w:val="32"/>
          <w:szCs w:val="32"/>
          <w:highlight w:val="none"/>
          <w:lang w:val="en-US" w:eastAsia="zh-CN"/>
          <w14:textFill>
            <w14:solidFill>
              <w14:schemeClr w14:val="tx1"/>
            </w14:solidFill>
          </w14:textFill>
        </w:rPr>
        <w:t>功能承诺</w:t>
      </w:r>
    </w:p>
    <w:p>
      <w:pPr>
        <w:spacing w:before="120" w:beforeLines="50" w:after="120" w:afterLines="50" w:line="240" w:lineRule="auto"/>
        <w:jc w:val="both"/>
        <w:rPr>
          <w:rFonts w:hint="eastAsia" w:ascii="仿宋" w:hAnsi="仿宋" w:eastAsia="仿宋"/>
          <w:strike w:val="0"/>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b w:val="0"/>
          <w:bCs w:val="0"/>
          <w:color w:val="000000" w:themeColor="text1"/>
          <w:sz w:val="32"/>
          <w:szCs w:val="32"/>
          <w:highlight w:val="none"/>
          <w14:textFill>
            <w14:solidFill>
              <w14:schemeClr w14:val="tx1"/>
            </w14:solidFill>
          </w14:textFill>
        </w:rPr>
        <w:t>带“★”号条款逐条响应情况表</w:t>
      </w:r>
      <w:r>
        <w:rPr>
          <w:rFonts w:hint="eastAsia" w:ascii="仿宋" w:hAnsi="仿宋" w:eastAsia="仿宋"/>
          <w:color w:val="000000" w:themeColor="text1"/>
          <w:sz w:val="32"/>
          <w:szCs w:val="32"/>
          <w:highlight w:val="none"/>
          <w14:textFill>
            <w14:solidFill>
              <w14:schemeClr w14:val="tx1"/>
            </w14:solidFill>
          </w14:textFill>
        </w:rPr>
        <w:cr/>
      </w:r>
      <w:r>
        <w:rPr>
          <w:rFonts w:hint="eastAsia" w:ascii="仿宋" w:hAnsi="仿宋" w:eastAsia="仿宋"/>
          <w:color w:val="000000" w:themeColor="text1"/>
          <w:sz w:val="32"/>
          <w:szCs w:val="32"/>
          <w:highlight w:val="none"/>
          <w:lang w:val="en-US" w:eastAsia="zh-CN"/>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 法人营业执照</w:t>
      </w:r>
    </w:p>
    <w:p>
      <w:pPr>
        <w:spacing w:before="120" w:beforeLines="50" w:after="120" w:afterLines="50" w:line="240" w:lineRule="auto"/>
        <w:ind w:left="0" w:firstLine="0" w:firstLineChars="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b w:val="0"/>
          <w:color w:val="000000" w:themeColor="text1"/>
          <w:sz w:val="32"/>
          <w:szCs w:val="32"/>
          <w:highlight w:val="none"/>
          <w14:textFill>
            <w14:solidFill>
              <w14:schemeClr w14:val="tx1"/>
            </w14:solidFill>
          </w14:textFill>
        </w:rPr>
        <w:t>廉洁诚信承诺书</w:t>
      </w:r>
    </w:p>
    <w:p>
      <w:pPr>
        <w:spacing w:before="120" w:beforeLines="50" w:after="120" w:afterLines="50" w:line="240" w:lineRule="auto"/>
        <w:ind w:left="0" w:firstLine="0" w:firstLineChars="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8.</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b w:val="0"/>
          <w:color w:val="000000" w:themeColor="text1"/>
          <w:sz w:val="32"/>
          <w:szCs w:val="32"/>
          <w:highlight w:val="none"/>
          <w14:textFill>
            <w14:solidFill>
              <w14:schemeClr w14:val="tx1"/>
            </w14:solidFill>
          </w14:textFill>
        </w:rPr>
        <w:t>作业安全承诺书</w:t>
      </w:r>
    </w:p>
    <w:p>
      <w:pPr>
        <w:spacing w:before="120" w:beforeLines="50" w:after="120" w:afterLines="50" w:line="240" w:lineRule="auto"/>
        <w:jc w:val="both"/>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9. </w:t>
      </w:r>
      <w:r>
        <w:rPr>
          <w:rFonts w:hint="eastAsia" w:ascii="仿宋" w:hAnsi="仿宋" w:eastAsia="仿宋"/>
          <w:b w:val="0"/>
          <w:bCs w:val="0"/>
          <w:color w:val="000000" w:themeColor="text1"/>
          <w:sz w:val="32"/>
          <w:szCs w:val="32"/>
          <w:highlight w:val="none"/>
          <w14:textFill>
            <w14:solidFill>
              <w14:schemeClr w14:val="tx1"/>
            </w14:solidFill>
          </w14:textFill>
        </w:rPr>
        <w:t>法定代表人授权书</w:t>
      </w:r>
    </w:p>
    <w:p>
      <w:pPr>
        <w:spacing w:before="120" w:beforeLines="50" w:after="120" w:afterLines="50" w:line="240" w:lineRule="auto"/>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10. 投标人提交的其它资料</w:t>
      </w:r>
    </w:p>
    <w:p>
      <w:pPr>
        <w:spacing w:before="120" w:beforeLines="50" w:after="120" w:afterLines="50"/>
        <w:jc w:val="both"/>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11. 投标人密封条</w:t>
      </w:r>
    </w:p>
    <w:p>
      <w:pPr>
        <w:spacing w:line="440" w:lineRule="exact"/>
        <w:rPr>
          <w:rFonts w:ascii="仿宋" w:hAnsi="仿宋" w:eastAsia="仿宋"/>
          <w:b/>
          <w:color w:val="000000" w:themeColor="text1"/>
          <w:sz w:val="32"/>
          <w:szCs w:val="32"/>
          <w:highlight w:val="none"/>
          <w14:textFill>
            <w14:solidFill>
              <w14:schemeClr w14:val="tx1"/>
            </w14:solidFill>
          </w14:textFill>
        </w:rPr>
      </w:pPr>
    </w:p>
    <w:p>
      <w:pPr>
        <w:spacing w:line="440" w:lineRule="exact"/>
        <w:rPr>
          <w:rFonts w:ascii="仿宋" w:hAnsi="仿宋" w:eastAsia="仿宋"/>
          <w:b/>
          <w:color w:val="000000" w:themeColor="text1"/>
          <w:sz w:val="32"/>
          <w:szCs w:val="32"/>
          <w:highlight w:val="none"/>
          <w14:textFill>
            <w14:solidFill>
              <w14:schemeClr w14:val="tx1"/>
            </w14:solidFill>
          </w14:textFill>
        </w:rPr>
      </w:pPr>
    </w:p>
    <w:p>
      <w:pPr>
        <w:spacing w:line="440" w:lineRule="exact"/>
        <w:rPr>
          <w:rFonts w:ascii="仿宋" w:hAnsi="仿宋" w:eastAsia="仿宋"/>
          <w:b/>
          <w:color w:val="000000" w:themeColor="text1"/>
          <w:sz w:val="32"/>
          <w:szCs w:val="32"/>
          <w:highlight w:val="none"/>
          <w14:textFill>
            <w14:solidFill>
              <w14:schemeClr w14:val="tx1"/>
            </w14:solidFill>
          </w14:textFill>
        </w:rPr>
      </w:pPr>
      <w:r>
        <w:rPr>
          <w:rFonts w:ascii="仿宋" w:hAnsi="仿宋" w:eastAsia="仿宋"/>
          <w:b/>
          <w:color w:val="000000" w:themeColor="text1"/>
          <w:sz w:val="32"/>
          <w:szCs w:val="32"/>
          <w:highlight w:val="none"/>
          <w14:textFill>
            <w14:solidFill>
              <w14:schemeClr w14:val="tx1"/>
            </w14:solidFill>
          </w14:textFill>
        </w:rPr>
        <w:t>说明：投标人应按投标文件的实际情况编制目录</w:t>
      </w:r>
    </w:p>
    <w:p>
      <w:pPr>
        <w:spacing w:line="500" w:lineRule="exact"/>
        <w:rPr>
          <w:rFonts w:ascii="仿宋" w:hAnsi="仿宋" w:eastAsia="仿宋"/>
          <w:b/>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br w:type="page"/>
      </w:r>
      <w:bookmarkStart w:id="171" w:name="_Toc186344305"/>
      <w:r>
        <w:rPr>
          <w:rFonts w:hint="eastAsia" w:ascii="仿宋" w:hAnsi="仿宋" w:eastAsia="仿宋"/>
          <w:b/>
          <w:bCs/>
          <w:color w:val="000000" w:themeColor="text1"/>
          <w:sz w:val="32"/>
          <w:szCs w:val="32"/>
          <w:highlight w:val="none"/>
          <w14:textFill>
            <w14:solidFill>
              <w14:schemeClr w14:val="tx1"/>
            </w14:solidFill>
          </w14:textFill>
        </w:rPr>
        <w:t>格式1　　</w:t>
      </w:r>
    </w:p>
    <w:p>
      <w:pPr>
        <w:spacing w:line="5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 标 书</w:t>
      </w:r>
      <w:bookmarkEnd w:id="171"/>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致</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展服智慧（厦门）物业服务</w:t>
      </w:r>
      <w:r>
        <w:rPr>
          <w:rFonts w:hint="eastAsia" w:ascii="仿宋" w:hAnsi="仿宋" w:eastAsia="仿宋"/>
          <w:color w:val="000000" w:themeColor="text1"/>
          <w:sz w:val="32"/>
          <w:szCs w:val="32"/>
          <w:highlight w:val="none"/>
          <w:u w:val="single"/>
          <w14:textFill>
            <w14:solidFill>
              <w14:schemeClr w14:val="tx1"/>
            </w14:solidFill>
          </w14:textFill>
        </w:rPr>
        <w:t>有限公司：</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根据贵方为 项目的投标要求（招标编号）: </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，本签字代表</w:t>
      </w:r>
      <w:r>
        <w:rPr>
          <w:rFonts w:hint="eastAsia" w:ascii="仿宋" w:hAnsi="仿宋" w:eastAsia="仿宋"/>
          <w:color w:val="000000" w:themeColor="text1"/>
          <w:sz w:val="32"/>
          <w:szCs w:val="32"/>
          <w:highlight w:val="none"/>
          <w:u w:val="single"/>
          <w14:textFill>
            <w14:solidFill>
              <w14:schemeClr w14:val="tx1"/>
            </w14:solidFill>
          </w14:textFill>
        </w:rPr>
        <w:t>（全名、职务）</w:t>
      </w:r>
      <w:r>
        <w:rPr>
          <w:rFonts w:hint="eastAsia" w:ascii="仿宋" w:hAnsi="仿宋" w:eastAsia="仿宋"/>
          <w:color w:val="000000" w:themeColor="text1"/>
          <w:sz w:val="32"/>
          <w:szCs w:val="32"/>
          <w:highlight w:val="none"/>
          <w14:textFill>
            <w14:solidFill>
              <w14:schemeClr w14:val="tx1"/>
            </w14:solidFill>
          </w14:textFill>
        </w:rPr>
        <w:t>正式授权并代表投标人（投标人名称、地址）提交下述文件正本一份</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副本一份</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14:textFill>
            <w14:solidFill>
              <w14:schemeClr w14:val="tx1"/>
            </w14:solidFill>
          </w14:textFill>
        </w:rPr>
        <w:t>电子版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份（U盘介质）</w:t>
      </w:r>
      <w:r>
        <w:rPr>
          <w:rFonts w:hint="eastAsia" w:ascii="仿宋" w:hAnsi="仿宋" w:eastAsia="仿宋"/>
          <w:color w:val="000000" w:themeColor="text1"/>
          <w:sz w:val="32"/>
          <w:szCs w:val="32"/>
          <w:highlight w:val="none"/>
          <w14:textFill>
            <w14:solidFill>
              <w14:schemeClr w14:val="tx1"/>
            </w14:solidFill>
          </w14:textFill>
        </w:rPr>
        <w:t>。</w:t>
      </w:r>
    </w:p>
    <w:tbl>
      <w:tblPr>
        <w:tblStyle w:val="17"/>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 投标书</w:t>
            </w:r>
          </w:p>
        </w:tc>
        <w:tc>
          <w:tcPr>
            <w:tcW w:w="4463" w:type="dxa"/>
          </w:tcPr>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hint="default" w:ascii="仿宋" w:hAnsi="仿宋" w:eastAsia="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b w:val="0"/>
                <w:bCs w:val="0"/>
                <w:color w:val="000000" w:themeColor="text1"/>
                <w:sz w:val="32"/>
                <w:szCs w:val="32"/>
                <w:highlight w:val="none"/>
                <w14:textFill>
                  <w14:solidFill>
                    <w14:schemeClr w14:val="tx1"/>
                  </w14:solidFill>
                </w14:textFill>
              </w:rPr>
              <w:t xml:space="preserve">(3) </w:t>
            </w:r>
            <w:r>
              <w:rPr>
                <w:rFonts w:hint="eastAsia" w:ascii="仿宋" w:hAnsi="仿宋" w:eastAsia="仿宋"/>
                <w:b w:val="0"/>
                <w:bCs w:val="0"/>
                <w:color w:val="000000" w:themeColor="text1"/>
                <w:sz w:val="32"/>
                <w:szCs w:val="32"/>
                <w:highlight w:val="none"/>
                <w:lang w:val="en-US" w:eastAsia="zh-CN"/>
                <w14:textFill>
                  <w14:solidFill>
                    <w14:schemeClr w14:val="tx1"/>
                  </w14:solidFill>
                </w14:textFill>
              </w:rPr>
              <w:t>投标人业绩证明</w:t>
            </w:r>
          </w:p>
        </w:tc>
        <w:tc>
          <w:tcPr>
            <w:tcW w:w="4463" w:type="dxa"/>
          </w:tcPr>
          <w:p>
            <w:pPr>
              <w:spacing w:line="500" w:lineRule="exact"/>
              <w:rPr>
                <w:rFonts w:ascii="仿宋" w:hAnsi="仿宋" w:eastAsia="仿宋"/>
                <w:b w:val="0"/>
                <w:bCs w:val="0"/>
                <w:color w:val="000000" w:themeColor="text1"/>
                <w:sz w:val="32"/>
                <w:szCs w:val="32"/>
                <w:highlight w:val="none"/>
                <w14:textFill>
                  <w14:solidFill>
                    <w14:schemeClr w14:val="tx1"/>
                  </w14:solidFill>
                </w14:textFill>
              </w:rPr>
            </w:pPr>
            <w:r>
              <w:rPr>
                <w:rFonts w:hint="eastAsia" w:ascii="仿宋" w:hAnsi="仿宋" w:eastAsia="仿宋"/>
                <w:b w:val="0"/>
                <w:bCs w:val="0"/>
                <w:color w:val="000000" w:themeColor="text1"/>
                <w:sz w:val="32"/>
                <w:szCs w:val="32"/>
                <w:highlight w:val="none"/>
                <w14:textFill>
                  <w14:solidFill>
                    <w14:schemeClr w14:val="tx1"/>
                  </w14:solidFill>
                </w14:textFill>
              </w:rPr>
              <w:t xml:space="preserve">(4) </w:t>
            </w:r>
            <w:r>
              <w:rPr>
                <w:rFonts w:hint="eastAsia" w:ascii="仿宋" w:hAnsi="仿宋" w:eastAsia="仿宋" w:cs="仿宋"/>
                <w:b w:val="0"/>
                <w:bCs w:val="0"/>
                <w:color w:val="000000" w:themeColor="text1"/>
                <w:sz w:val="32"/>
                <w:szCs w:val="32"/>
                <w:highlight w:val="none"/>
                <w14:textFill>
                  <w14:solidFill>
                    <w14:schemeClr w14:val="tx1"/>
                  </w14:solidFill>
                </w14:textFill>
              </w:rPr>
              <w:t>智慧电箱及监测云平台技术</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功能承诺</w:t>
            </w:r>
          </w:p>
        </w:tc>
      </w:tr>
      <w:tr>
        <w:tblPrEx>
          <w:tblCellMar>
            <w:top w:w="0" w:type="dxa"/>
            <w:left w:w="108" w:type="dxa"/>
            <w:bottom w:w="0" w:type="dxa"/>
            <w:right w:w="108" w:type="dxa"/>
          </w:tblCellMar>
        </w:tblPrEx>
        <w:trPr>
          <w:trHeight w:val="454" w:hRule="atLeast"/>
          <w:jc w:val="center"/>
        </w:trPr>
        <w:tc>
          <w:tcPr>
            <w:tcW w:w="4465" w:type="dxa"/>
          </w:tcPr>
          <w:p>
            <w:pPr>
              <w:spacing w:before="120" w:beforeLines="50" w:after="120" w:afterLines="50" w:line="240" w:lineRule="auto"/>
              <w:jc w:val="center"/>
              <w:rPr>
                <w:rFonts w:ascii="仿宋" w:hAnsi="仿宋" w:eastAsia="仿宋"/>
                <w:b w:val="0"/>
                <w:bCs w:val="0"/>
                <w:color w:val="000000" w:themeColor="text1"/>
                <w:sz w:val="32"/>
                <w:szCs w:val="32"/>
                <w:highlight w:val="none"/>
                <w14:textFill>
                  <w14:solidFill>
                    <w14:schemeClr w14:val="tx1"/>
                  </w14:solidFill>
                </w14:textFill>
              </w:rPr>
            </w:pPr>
            <w:r>
              <w:rPr>
                <w:rFonts w:hint="eastAsia" w:ascii="仿宋" w:hAnsi="仿宋" w:eastAsia="仿宋"/>
                <w:b w:val="0"/>
                <w:bCs w:val="0"/>
                <w:color w:val="000000" w:themeColor="text1"/>
                <w:sz w:val="32"/>
                <w:szCs w:val="32"/>
                <w:highlight w:val="none"/>
                <w14:textFill>
                  <w14:solidFill>
                    <w14:schemeClr w14:val="tx1"/>
                  </w14:solidFill>
                </w14:textFill>
              </w:rPr>
              <w:t>(5) 带“★”号条款逐条响应情况表</w:t>
            </w:r>
          </w:p>
        </w:tc>
        <w:tc>
          <w:tcPr>
            <w:tcW w:w="4463" w:type="dxa"/>
          </w:tcPr>
          <w:p>
            <w:pPr>
              <w:spacing w:line="500" w:lineRule="exact"/>
              <w:ind w:firstLine="0" w:firstLineChars="0"/>
              <w:rPr>
                <w:rFonts w:ascii="仿宋" w:hAnsi="仿宋" w:eastAsia="仿宋"/>
                <w:b w:val="0"/>
                <w:bCs w:val="0"/>
                <w:color w:val="000000" w:themeColor="text1"/>
                <w:sz w:val="32"/>
                <w:szCs w:val="32"/>
                <w:highlight w:val="none"/>
                <w14:textFill>
                  <w14:solidFill>
                    <w14:schemeClr w14:val="tx1"/>
                  </w14:solidFill>
                </w14:textFill>
              </w:rPr>
            </w:pPr>
            <w:r>
              <w:rPr>
                <w:rFonts w:hint="eastAsia" w:ascii="仿宋" w:hAnsi="仿宋" w:eastAsia="仿宋"/>
                <w:b w:val="0"/>
                <w:bCs w:val="0"/>
                <w:color w:val="000000" w:themeColor="text1"/>
                <w:sz w:val="32"/>
                <w:szCs w:val="32"/>
                <w:highlight w:val="none"/>
                <w14:textFill>
                  <w14:solidFill>
                    <w14:schemeClr w14:val="tx1"/>
                  </w14:solidFill>
                </w14:textFill>
              </w:rPr>
              <w:t>(6) 法人代表授权书</w:t>
            </w:r>
            <w:r>
              <w:rPr>
                <w:rFonts w:hint="eastAsia" w:ascii="仿宋" w:hAnsi="仿宋" w:eastAsia="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b w:val="0"/>
                <w:bCs w:val="0"/>
                <w:color w:val="000000" w:themeColor="text1"/>
                <w:sz w:val="32"/>
                <w:szCs w:val="32"/>
                <w:highlight w:val="none"/>
                <w14:textFill>
                  <w14:solidFill>
                    <w14:schemeClr w14:val="tx1"/>
                  </w14:solidFill>
                </w14:textFill>
              </w:rPr>
              <w:t>法人营业执照</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hint="default" w:ascii="仿宋" w:hAnsi="仿宋" w:eastAsia="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b w:val="0"/>
                <w:bCs w:val="0"/>
                <w:color w:val="000000" w:themeColor="text1"/>
                <w:sz w:val="32"/>
                <w:szCs w:val="32"/>
                <w:highlight w:val="none"/>
                <w:lang w:val="en-US" w:eastAsia="zh-CN"/>
                <w14:textFill>
                  <w14:solidFill>
                    <w14:schemeClr w14:val="tx1"/>
                  </w14:solidFill>
                </w14:textFill>
              </w:rPr>
              <w:t>7）</w:t>
            </w:r>
            <w:r>
              <w:rPr>
                <w:rFonts w:hint="eastAsia" w:ascii="仿宋" w:hAnsi="仿宋" w:eastAsia="仿宋"/>
                <w:b w:val="0"/>
                <w:bCs w:val="0"/>
                <w:color w:val="000000" w:themeColor="text1"/>
                <w:sz w:val="32"/>
                <w:szCs w:val="32"/>
                <w:highlight w:val="none"/>
                <w14:textFill>
                  <w14:solidFill>
                    <w14:schemeClr w14:val="tx1"/>
                  </w14:solidFill>
                </w14:textFill>
              </w:rPr>
              <w:t>廉洁诚信承诺书</w:t>
            </w:r>
          </w:p>
        </w:tc>
        <w:tc>
          <w:tcPr>
            <w:tcW w:w="4463" w:type="dxa"/>
          </w:tcPr>
          <w:p>
            <w:pPr>
              <w:spacing w:line="500" w:lineRule="exact"/>
              <w:rPr>
                <w:rFonts w:hint="default" w:ascii="仿宋" w:hAnsi="仿宋" w:eastAsia="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
                <w:b w:val="0"/>
                <w:bCs w:val="0"/>
                <w:color w:val="000000" w:themeColor="text1"/>
                <w:sz w:val="32"/>
                <w:szCs w:val="32"/>
                <w:highlight w:val="none"/>
                <w:lang w:val="en-US" w:eastAsia="zh-CN"/>
                <w14:textFill>
                  <w14:solidFill>
                    <w14:schemeClr w14:val="tx1"/>
                  </w14:solidFill>
                </w14:textFill>
              </w:rPr>
              <w:t>8）</w:t>
            </w:r>
            <w:r>
              <w:rPr>
                <w:rFonts w:hint="eastAsia" w:ascii="仿宋" w:hAnsi="仿宋" w:eastAsia="仿宋"/>
                <w:b w:val="0"/>
                <w:bCs w:val="0"/>
                <w:color w:val="000000" w:themeColor="text1"/>
                <w:sz w:val="32"/>
                <w:szCs w:val="32"/>
                <w:highlight w:val="none"/>
                <w14:textFill>
                  <w14:solidFill>
                    <w14:schemeClr w14:val="tx1"/>
                  </w14:solidFill>
                </w14:textFill>
              </w:rPr>
              <w:t>作业安全承诺书</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b w:val="0"/>
                <w:bCs w:val="0"/>
                <w:color w:val="000000" w:themeColor="text1"/>
                <w:sz w:val="32"/>
                <w:szCs w:val="32"/>
                <w:highlight w:val="none"/>
                <w14:textFill>
                  <w14:solidFill>
                    <w14:schemeClr w14:val="tx1"/>
                  </w14:solidFill>
                </w14:textFill>
              </w:rPr>
            </w:pPr>
            <w:r>
              <w:rPr>
                <w:rFonts w:hint="eastAsia" w:ascii="仿宋" w:hAnsi="仿宋" w:eastAsia="仿宋"/>
                <w:b w:val="0"/>
                <w:bCs w:val="0"/>
                <w:color w:val="000000" w:themeColor="text1"/>
                <w:sz w:val="32"/>
                <w:szCs w:val="32"/>
                <w:highlight w:val="none"/>
                <w14:textFill>
                  <w14:solidFill>
                    <w14:schemeClr w14:val="tx1"/>
                  </w14:solidFill>
                </w14:textFill>
              </w:rPr>
              <w:t>(</w:t>
            </w:r>
            <w:r>
              <w:rPr>
                <w:rFonts w:hint="eastAsia" w:ascii="仿宋" w:hAnsi="仿宋" w:eastAsia="仿宋"/>
                <w:b w:val="0"/>
                <w:bCs w:val="0"/>
                <w:color w:val="000000" w:themeColor="text1"/>
                <w:sz w:val="32"/>
                <w:szCs w:val="32"/>
                <w:highlight w:val="none"/>
                <w:lang w:val="en-US" w:eastAsia="zh-CN"/>
                <w14:textFill>
                  <w14:solidFill>
                    <w14:schemeClr w14:val="tx1"/>
                  </w14:solidFill>
                </w14:textFill>
              </w:rPr>
              <w:t>9</w:t>
            </w:r>
            <w:r>
              <w:rPr>
                <w:rFonts w:hint="eastAsia" w:ascii="仿宋" w:hAnsi="仿宋" w:eastAsia="仿宋"/>
                <w:b w:val="0"/>
                <w:bCs w:val="0"/>
                <w:color w:val="000000" w:themeColor="text1"/>
                <w:sz w:val="32"/>
                <w:szCs w:val="32"/>
                <w:highlight w:val="none"/>
                <w14:textFill>
                  <w14:solidFill>
                    <w14:schemeClr w14:val="tx1"/>
                  </w14:solidFill>
                </w14:textFill>
              </w:rPr>
              <w:t>) 投标人提交的其它资料</w:t>
            </w:r>
          </w:p>
        </w:tc>
        <w:tc>
          <w:tcPr>
            <w:tcW w:w="4463" w:type="dxa"/>
          </w:tcPr>
          <w:p>
            <w:pPr>
              <w:spacing w:line="500" w:lineRule="exact"/>
              <w:rPr>
                <w:rFonts w:ascii="仿宋" w:hAnsi="仿宋" w:eastAsia="仿宋"/>
                <w:b w:val="0"/>
                <w:bCs w:val="0"/>
                <w:color w:val="000000" w:themeColor="text1"/>
                <w:sz w:val="32"/>
                <w:szCs w:val="32"/>
                <w:highlight w:val="none"/>
                <w14:textFill>
                  <w14:solidFill>
                    <w14:schemeClr w14:val="tx1"/>
                  </w14:solidFill>
                </w14:textFill>
              </w:rPr>
            </w:pPr>
            <w:r>
              <w:rPr>
                <w:rFonts w:hint="eastAsia" w:ascii="仿宋" w:hAnsi="仿宋" w:eastAsia="仿宋"/>
                <w:b w:val="0"/>
                <w:bCs w:val="0"/>
                <w:color w:val="000000" w:themeColor="text1"/>
                <w:sz w:val="32"/>
                <w:szCs w:val="32"/>
                <w:highlight w:val="none"/>
                <w14:textFill>
                  <w14:solidFill>
                    <w14:schemeClr w14:val="tx1"/>
                  </w14:solidFill>
                </w14:textFill>
              </w:rPr>
              <w:t>(</w:t>
            </w:r>
            <w:r>
              <w:rPr>
                <w:rFonts w:hint="eastAsia" w:ascii="仿宋" w:hAnsi="仿宋" w:eastAsia="仿宋"/>
                <w:b w:val="0"/>
                <w:bCs w:val="0"/>
                <w:color w:val="000000" w:themeColor="text1"/>
                <w:sz w:val="32"/>
                <w:szCs w:val="32"/>
                <w:highlight w:val="none"/>
                <w:lang w:val="en-US" w:eastAsia="zh-CN"/>
                <w14:textFill>
                  <w14:solidFill>
                    <w14:schemeClr w14:val="tx1"/>
                  </w14:solidFill>
                </w14:textFill>
              </w:rPr>
              <w:t>10</w:t>
            </w:r>
            <w:r>
              <w:rPr>
                <w:rFonts w:hint="eastAsia" w:ascii="仿宋" w:hAnsi="仿宋" w:eastAsia="仿宋"/>
                <w:b w:val="0"/>
                <w:bCs w:val="0"/>
                <w:color w:val="000000" w:themeColor="text1"/>
                <w:sz w:val="32"/>
                <w:szCs w:val="32"/>
                <w:highlight w:val="none"/>
                <w14:textFill>
                  <w14:solidFill>
                    <w14:schemeClr w14:val="tx1"/>
                  </w14:solidFill>
                </w14:textFill>
              </w:rPr>
              <w:t>)以 方式提供的金额为人民币元的投标保证金。</w:t>
            </w:r>
          </w:p>
        </w:tc>
      </w:tr>
    </w:tbl>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据此函，签字代表宣布同意如下：</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2.投标人保证遵守招标文件的全部规定，投标人所提交的材料中所含的信息均为真实、准确、完整，且不具有任何误导性。</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3.投标人将按招标文件的规定履行合同责任和义务。</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4.本投标文件自开标日起投标有效期为：在招标文件投标人须知前附表第</w:t>
      </w:r>
      <w:r>
        <w:rPr>
          <w:rFonts w:ascii="仿宋" w:hAnsi="仿宋" w:eastAsia="仿宋"/>
          <w:color w:val="000000" w:themeColor="text1"/>
          <w:sz w:val="32"/>
          <w:szCs w:val="32"/>
          <w:highlight w:val="none"/>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项所规定的期限内保持有效。</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7. 与本投标有关的一切正式往来通讯请寄：</w:t>
      </w:r>
    </w:p>
    <w:p>
      <w:pPr>
        <w:spacing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地址：  邮编： </w:t>
      </w:r>
    </w:p>
    <w:p>
      <w:pPr>
        <w:spacing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电话：  传真： </w:t>
      </w:r>
    </w:p>
    <w:p>
      <w:pPr>
        <w:spacing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pPr>
        <w:spacing w:line="500" w:lineRule="exact"/>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 年 月 日</w:t>
      </w: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ascii="仿宋" w:hAnsi="仿宋" w:eastAsia="仿宋"/>
          <w:b/>
          <w:bCs/>
          <w:color w:val="000000" w:themeColor="text1"/>
          <w:sz w:val="32"/>
          <w:szCs w:val="32"/>
          <w:highlight w:val="none"/>
          <w14:textFill>
            <w14:solidFill>
              <w14:schemeClr w14:val="tx1"/>
            </w14:solidFill>
          </w14:textFill>
        </w:rPr>
        <w:br w:type="page"/>
      </w:r>
      <w:r>
        <w:rPr>
          <w:rFonts w:hint="eastAsia" w:ascii="仿宋" w:hAnsi="仿宋" w:eastAsia="仿宋"/>
          <w:b/>
          <w:bCs/>
          <w:color w:val="000000" w:themeColor="text1"/>
          <w:sz w:val="32"/>
          <w:szCs w:val="32"/>
          <w:highlight w:val="none"/>
          <w14:textFill>
            <w14:solidFill>
              <w14:schemeClr w14:val="tx1"/>
            </w14:solidFill>
          </w14:textFill>
        </w:rPr>
        <w:t>格式2　</w:t>
      </w: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开标一览表</w:t>
      </w:r>
    </w:p>
    <w:p>
      <w:pPr>
        <w:pStyle w:val="7"/>
        <w:tabs>
          <w:tab w:val="left" w:pos="3996"/>
          <w:tab w:val="left" w:pos="8437"/>
        </w:tabs>
        <w:spacing w:line="500" w:lineRule="exact"/>
        <w:ind w:left="36"/>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投标人全称（加盖公章）：</w:t>
      </w:r>
    </w:p>
    <w:p>
      <w:pPr>
        <w:spacing w:line="500" w:lineRule="exac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招标项目：</w:t>
      </w:r>
      <w:r>
        <w:rPr>
          <w:rFonts w:hint="eastAsia" w:ascii="仿宋" w:hAnsi="仿宋" w:eastAsia="仿宋"/>
          <w:color w:val="000000" w:themeColor="text1"/>
          <w:sz w:val="32"/>
          <w:szCs w:val="32"/>
          <w:highlight w:val="none"/>
          <w:u w:val="single"/>
          <w14:textFill>
            <w14:solidFill>
              <w14:schemeClr w14:val="tx1"/>
            </w14:solidFill>
          </w14:textFill>
        </w:rPr>
        <w:t>　　　　　　　　　　　　</w:t>
      </w:r>
      <w:r>
        <w:rPr>
          <w:rFonts w:hint="eastAsia" w:ascii="仿宋" w:hAnsi="仿宋" w:eastAsia="仿宋"/>
          <w:color w:val="000000" w:themeColor="text1"/>
          <w:sz w:val="32"/>
          <w:szCs w:val="32"/>
          <w:highlight w:val="none"/>
          <w14:textFill>
            <w14:solidFill>
              <w14:schemeClr w14:val="tx1"/>
            </w14:solidFill>
          </w14:textFill>
        </w:rPr>
        <w:t>　　　</w:t>
      </w:r>
    </w:p>
    <w:p>
      <w:pPr>
        <w:spacing w:line="500" w:lineRule="exact"/>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招标编号：  </w:t>
      </w:r>
    </w:p>
    <w:p>
      <w:pPr>
        <w:pStyle w:val="7"/>
        <w:tabs>
          <w:tab w:val="left" w:pos="3996"/>
          <w:tab w:val="left" w:pos="8437"/>
        </w:tabs>
        <w:spacing w:before="3" w:line="500" w:lineRule="exact"/>
        <w:ind w:left="36"/>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货币单位：</w:t>
      </w:r>
    </w:p>
    <w:tbl>
      <w:tblPr>
        <w:tblStyle w:val="17"/>
        <w:tblW w:w="0" w:type="auto"/>
        <w:tblInd w:w="0" w:type="dxa"/>
        <w:tblLayout w:type="autofit"/>
        <w:tblCellMar>
          <w:top w:w="0" w:type="dxa"/>
          <w:left w:w="0" w:type="dxa"/>
          <w:bottom w:w="0" w:type="dxa"/>
          <w:right w:w="0" w:type="dxa"/>
        </w:tblCellMar>
      </w:tblPr>
      <w:tblGrid>
        <w:gridCol w:w="438"/>
        <w:gridCol w:w="3392"/>
        <w:gridCol w:w="1428"/>
        <w:gridCol w:w="1330"/>
        <w:gridCol w:w="2049"/>
        <w:gridCol w:w="439"/>
      </w:tblGrid>
      <w:tr>
        <w:tblPrEx>
          <w:tblCellMar>
            <w:top w:w="0" w:type="dxa"/>
            <w:left w:w="0" w:type="dxa"/>
            <w:bottom w:w="0" w:type="dxa"/>
            <w:right w:w="0" w:type="dxa"/>
          </w:tblCellMar>
        </w:tblPrEx>
        <w:trPr>
          <w:trHeight w:val="1442" w:hRule="exact"/>
        </w:trPr>
        <w:tc>
          <w:tcPr>
            <w:tcW w:w="0" w:type="auto"/>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hint="default" w:ascii="仿宋" w:hAnsi="仿宋" w:eastAsia="仿宋" w:cs="宋体"/>
                <w:color w:val="000000" w:themeColor="text1"/>
                <w:sz w:val="28"/>
                <w:szCs w:val="28"/>
                <w:highlight w:val="none"/>
                <w:lang w:val="en-US" w:eastAsia="zh-CN"/>
                <w14:textFill>
                  <w14:solidFill>
                    <w14:schemeClr w14:val="tx1"/>
                  </w14:solidFill>
                </w14:textFill>
              </w:rPr>
            </w:pPr>
            <w:r>
              <w:rPr>
                <w:rFonts w:hint="eastAsia" w:ascii="仿宋" w:hAnsi="仿宋" w:eastAsia="仿宋" w:cs="宋体"/>
                <w:color w:val="000000" w:themeColor="text1"/>
                <w:sz w:val="28"/>
                <w:szCs w:val="28"/>
                <w:highlight w:val="none"/>
                <w:lang w:val="en-US" w:eastAsia="zh-CN"/>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lang w:val="en-US" w:eastAsia="zh-CN"/>
                <w14:textFill>
                  <w14:solidFill>
                    <w14:schemeClr w14:val="tx1"/>
                  </w14:solidFill>
                </w14:textFill>
              </w:rPr>
              <w:t>招标服务</w:t>
            </w:r>
            <w:r>
              <w:rPr>
                <w:rFonts w:ascii="仿宋" w:hAnsi="仿宋" w:eastAsia="仿宋" w:cs="宋体"/>
                <w:color w:val="000000" w:themeColor="text1"/>
                <w:sz w:val="28"/>
                <w:szCs w:val="28"/>
                <w:highlight w:val="none"/>
                <w14:textFill>
                  <w14:solidFill>
                    <w14:schemeClr w14:val="tx1"/>
                  </w14:solidFill>
                </w14:textFill>
              </w:rPr>
              <w:t>名称</w:t>
            </w:r>
          </w:p>
        </w:tc>
        <w:tc>
          <w:tcPr>
            <w:tcW w:w="0" w:type="auto"/>
            <w:tcBorders>
              <w:top w:val="single" w:color="000000" w:sz="4" w:space="0"/>
              <w:left w:val="single" w:color="000000" w:sz="4" w:space="0"/>
              <w:bottom w:val="single" w:color="000000" w:sz="4" w:space="0"/>
              <w:right w:val="single" w:color="000000" w:sz="4" w:space="0"/>
            </w:tcBorders>
            <w:vAlign w:val="center"/>
          </w:tcPr>
          <w:p>
            <w:pPr>
              <w:bidi w:val="0"/>
              <w:ind w:firstLine="280" w:firstLineChars="100"/>
              <w:jc w:val="both"/>
              <w:rPr>
                <w:rFonts w:hint="default" w:eastAsia="宋体"/>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招标内容及要求</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hint="default" w:ascii="仿宋" w:hAnsi="仿宋" w:eastAsia="仿宋" w:cs="宋体"/>
                <w:color w:val="000000" w:themeColor="text1"/>
                <w:sz w:val="28"/>
                <w:szCs w:val="28"/>
                <w:highlight w:val="none"/>
                <w:lang w:val="en-US" w:eastAsia="zh-CN"/>
                <w14:textFill>
                  <w14:solidFill>
                    <w14:schemeClr w14:val="tx1"/>
                  </w14:solidFill>
                </w14:textFill>
              </w:rPr>
            </w:pPr>
            <w:r>
              <w:rPr>
                <w:rFonts w:hint="eastAsia" w:ascii="仿宋" w:hAnsi="仿宋" w:eastAsia="仿宋" w:cs="宋体"/>
                <w:color w:val="000000" w:themeColor="text1"/>
                <w:sz w:val="28"/>
                <w:szCs w:val="28"/>
                <w:highlight w:val="none"/>
                <w:lang w:val="en-US" w:eastAsia="zh-CN"/>
                <w14:textFill>
                  <w14:solidFill>
                    <w14:schemeClr w14:val="tx1"/>
                  </w14:solidFill>
                </w14:textFill>
              </w:rPr>
              <w:t>服务地点</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lang w:eastAsia="zh-CN"/>
                <w14:textFill>
                  <w14:solidFill>
                    <w14:schemeClr w14:val="tx1"/>
                  </w14:solidFill>
                </w14:textFill>
              </w:rPr>
              <w:t>服务</w:t>
            </w:r>
            <w:r>
              <w:rPr>
                <w:rFonts w:ascii="仿宋" w:hAnsi="仿宋" w:eastAsia="仿宋" w:cs="宋体"/>
                <w:color w:val="000000" w:themeColor="text1"/>
                <w:sz w:val="28"/>
                <w:szCs w:val="28"/>
                <w:highlight w:val="none"/>
                <w14:textFill>
                  <w14:solidFill>
                    <w14:schemeClr w14:val="tx1"/>
                  </w14:solidFill>
                </w14:textFill>
              </w:rPr>
              <w:t>期</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hint="default" w:ascii="仿宋" w:hAnsi="仿宋" w:eastAsia="仿宋" w:cs="宋体"/>
                <w:color w:val="000000" w:themeColor="text1"/>
                <w:sz w:val="28"/>
                <w:szCs w:val="28"/>
                <w:highlight w:val="none"/>
                <w:lang w:val="en-US" w:eastAsia="zh-CN"/>
                <w14:textFill>
                  <w14:solidFill>
                    <w14:schemeClr w14:val="tx1"/>
                  </w14:solidFill>
                </w14:textFill>
              </w:rPr>
            </w:pPr>
            <w:r>
              <w:rPr>
                <w:rFonts w:hint="eastAsia" w:ascii="仿宋" w:hAnsi="仿宋" w:eastAsia="仿宋" w:cs="宋体"/>
                <w:color w:val="000000" w:themeColor="text1"/>
                <w:sz w:val="28"/>
                <w:szCs w:val="28"/>
                <w:highlight w:val="none"/>
                <w:lang w:val="en-US" w:eastAsia="zh-CN"/>
                <w14:textFill>
                  <w14:solidFill>
                    <w14:schemeClr w14:val="tx1"/>
                  </w14:solidFill>
                </w14:textFill>
              </w:rPr>
              <w:t>报价</w:t>
            </w:r>
          </w:p>
        </w:tc>
      </w:tr>
      <w:tr>
        <w:tblPrEx>
          <w:tblCellMar>
            <w:top w:w="0" w:type="dxa"/>
            <w:left w:w="0" w:type="dxa"/>
            <w:bottom w:w="0" w:type="dxa"/>
            <w:right w:w="0" w:type="dxa"/>
          </w:tblCellMar>
        </w:tblPrEx>
        <w:trPr>
          <w:trHeight w:val="1632"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智慧电箱接驳、监管、物料收集入库（包工料）</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详第三章项目需求</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厦门国际博览中心</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202</w:t>
            </w:r>
            <w:r>
              <w:rPr>
                <w:rFonts w:hint="eastAsia" w:ascii="宋体" w:hAnsi="宋体"/>
                <w:color w:val="000000" w:themeColor="text1"/>
                <w:kern w:val="0"/>
                <w:sz w:val="24"/>
                <w:highlight w:val="none"/>
                <w:lang w:val="en-US" w:eastAsia="zh-CN"/>
                <w14:textFill>
                  <w14:solidFill>
                    <w14:schemeClr w14:val="tx1"/>
                  </w14:solidFill>
                </w14:textFill>
              </w:rPr>
              <w:t>4</w:t>
            </w:r>
            <w:r>
              <w:rPr>
                <w:rFonts w:hint="eastAsia" w:ascii="宋体" w:hAnsi="宋体"/>
                <w:color w:val="000000" w:themeColor="text1"/>
                <w:kern w:val="0"/>
                <w:sz w:val="24"/>
                <w:highlight w:val="none"/>
                <w14:textFill>
                  <w14:solidFill>
                    <w14:schemeClr w14:val="tx1"/>
                  </w14:solidFill>
                </w14:textFill>
              </w:rPr>
              <w:t>年11月12日至11月24日</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仿宋" w:hAnsi="仿宋" w:eastAsia="仿宋"/>
                <w:color w:val="000000" w:themeColor="text1"/>
                <w:sz w:val="28"/>
                <w:szCs w:val="28"/>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1632"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仿宋" w:cs="Times New Roman"/>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展览用水接驳、监管、物料收集入库（包工料）</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详第三章项目需求</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厦门国际博览中心</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202</w:t>
            </w:r>
            <w:r>
              <w:rPr>
                <w:rFonts w:hint="eastAsia" w:ascii="宋体" w:hAnsi="宋体"/>
                <w:color w:val="000000" w:themeColor="text1"/>
                <w:kern w:val="0"/>
                <w:sz w:val="24"/>
                <w:highlight w:val="none"/>
                <w:lang w:val="en-US" w:eastAsia="zh-CN"/>
                <w14:textFill>
                  <w14:solidFill>
                    <w14:schemeClr w14:val="tx1"/>
                  </w14:solidFill>
                </w14:textFill>
              </w:rPr>
              <w:t>4</w:t>
            </w:r>
            <w:r>
              <w:rPr>
                <w:rFonts w:hint="eastAsia" w:ascii="宋体" w:hAnsi="宋体"/>
                <w:color w:val="000000" w:themeColor="text1"/>
                <w:kern w:val="0"/>
                <w:sz w:val="24"/>
                <w:highlight w:val="none"/>
                <w14:textFill>
                  <w14:solidFill>
                    <w14:schemeClr w14:val="tx1"/>
                  </w14:solidFill>
                </w14:textFill>
              </w:rPr>
              <w:t>年11月12日至11月24日</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themeColor="text1"/>
                <w:sz w:val="28"/>
                <w:szCs w:val="28"/>
                <w:highlight w:val="none"/>
                <w14:textFill>
                  <w14:solidFill>
                    <w14:schemeClr w14:val="tx1"/>
                  </w14:solidFill>
                </w14:textFill>
              </w:rPr>
            </w:pPr>
          </w:p>
        </w:tc>
      </w:tr>
      <w:tr>
        <w:tblPrEx>
          <w:tblCellMar>
            <w:top w:w="0" w:type="dxa"/>
            <w:left w:w="0" w:type="dxa"/>
            <w:bottom w:w="0" w:type="dxa"/>
            <w:right w:w="0" w:type="dxa"/>
          </w:tblCellMar>
        </w:tblPrEx>
        <w:trPr>
          <w:trHeight w:val="1632"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仿宋" w:cs="Times New Roman"/>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展览用气接驳、监管、物料收集入库（包工料）</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详第三章项目需求</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厦门国际博览中心</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202</w:t>
            </w:r>
            <w:r>
              <w:rPr>
                <w:rFonts w:hint="eastAsia" w:ascii="宋体" w:hAnsi="宋体"/>
                <w:color w:val="000000" w:themeColor="text1"/>
                <w:kern w:val="0"/>
                <w:sz w:val="24"/>
                <w:highlight w:val="none"/>
                <w:lang w:val="en-US" w:eastAsia="zh-CN"/>
                <w14:textFill>
                  <w14:solidFill>
                    <w14:schemeClr w14:val="tx1"/>
                  </w14:solidFill>
                </w14:textFill>
              </w:rPr>
              <w:t>4</w:t>
            </w:r>
            <w:r>
              <w:rPr>
                <w:rFonts w:hint="eastAsia" w:ascii="宋体" w:hAnsi="宋体"/>
                <w:color w:val="000000" w:themeColor="text1"/>
                <w:kern w:val="0"/>
                <w:sz w:val="24"/>
                <w:highlight w:val="none"/>
                <w14:textFill>
                  <w14:solidFill>
                    <w14:schemeClr w14:val="tx1"/>
                  </w14:solidFill>
                </w14:textFill>
              </w:rPr>
              <w:t>年11月12日至11月24日</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themeColor="text1"/>
                <w:sz w:val="28"/>
                <w:szCs w:val="28"/>
                <w:highlight w:val="none"/>
                <w14:textFill>
                  <w14:solidFill>
                    <w14:schemeClr w14:val="tx1"/>
                  </w14:solidFill>
                </w14:textFill>
              </w:rPr>
            </w:pPr>
          </w:p>
        </w:tc>
      </w:tr>
      <w:tr>
        <w:tblPrEx>
          <w:tblCellMar>
            <w:top w:w="0" w:type="dxa"/>
            <w:left w:w="0" w:type="dxa"/>
            <w:bottom w:w="0" w:type="dxa"/>
            <w:right w:w="0" w:type="dxa"/>
          </w:tblCellMar>
        </w:tblPrEx>
        <w:trPr>
          <w:trHeight w:val="1097" w:hRule="exact"/>
        </w:trPr>
        <w:tc>
          <w:tcPr>
            <w:tcW w:w="0" w:type="auto"/>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四</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总报价（四=一+</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二+三）</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000000" w:themeColor="text1"/>
                <w:sz w:val="28"/>
                <w:szCs w:val="2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500" w:lineRule="exact"/>
              <w:jc w:val="both"/>
              <w:rPr>
                <w:rFonts w:hint="default" w:ascii="仿宋" w:hAnsi="仿宋" w:eastAsia="仿宋"/>
                <w:color w:val="000000" w:themeColor="text1"/>
                <w:sz w:val="28"/>
                <w:szCs w:val="28"/>
                <w:highlight w:val="none"/>
                <w:lang w:val="en-US" w:eastAsia="zh-CN"/>
                <w14:textFill>
                  <w14:solidFill>
                    <w14:schemeClr w14:val="tx1"/>
                  </w14:solidFill>
                </w14:textFill>
              </w:rPr>
            </w:pPr>
          </w:p>
        </w:tc>
      </w:tr>
    </w:tbl>
    <w:p>
      <w:pPr>
        <w:pStyle w:val="7"/>
        <w:spacing w:line="500" w:lineRule="exact"/>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注：详细报价清单</w:t>
      </w:r>
      <w:r>
        <w:rPr>
          <w:rFonts w:hint="eastAsia" w:ascii="仿宋" w:hAnsi="仿宋" w:eastAsia="仿宋"/>
          <w:color w:val="000000" w:themeColor="text1"/>
          <w:sz w:val="32"/>
          <w:szCs w:val="32"/>
          <w:highlight w:val="none"/>
          <w:lang w:val="en-US" w:eastAsia="zh-CN"/>
          <w14:textFill>
            <w14:solidFill>
              <w14:schemeClr w14:val="tx1"/>
            </w14:solidFill>
          </w14:textFill>
        </w:rPr>
        <w:t>可</w:t>
      </w:r>
      <w:r>
        <w:rPr>
          <w:rFonts w:ascii="仿宋" w:hAnsi="仿宋" w:eastAsia="仿宋"/>
          <w:color w:val="000000" w:themeColor="text1"/>
          <w:sz w:val="32"/>
          <w:szCs w:val="32"/>
          <w:highlight w:val="none"/>
          <w14:textFill>
            <w14:solidFill>
              <w14:schemeClr w14:val="tx1"/>
            </w14:solidFill>
          </w14:textFill>
        </w:rPr>
        <w:t>另纸详列。</w:t>
      </w:r>
    </w:p>
    <w:p>
      <w:pPr>
        <w:pStyle w:val="7"/>
        <w:tabs>
          <w:tab w:val="left" w:pos="4340"/>
        </w:tabs>
        <w:spacing w:before="25" w:line="500" w:lineRule="exact"/>
        <w:ind w:right="946"/>
        <w:rPr>
          <w:rFonts w:ascii="仿宋" w:hAnsi="仿宋" w:eastAsia="仿宋"/>
          <w:color w:val="000000" w:themeColor="text1"/>
          <w:sz w:val="32"/>
          <w:szCs w:val="32"/>
          <w:highlight w:val="none"/>
          <w14:textFill>
            <w14:solidFill>
              <w14:schemeClr w14:val="tx1"/>
            </w14:solidFill>
          </w14:textFill>
        </w:rPr>
      </w:pPr>
    </w:p>
    <w:p>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pPr>
        <w:spacing w:line="500" w:lineRule="exact"/>
        <w:ind w:firstLine="320" w:firstLineChars="1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ascii="仿宋" w:hAnsi="仿宋" w:eastAsia="仿宋"/>
          <w:color w:val="000000" w:themeColor="text1"/>
          <w:sz w:val="32"/>
          <w:szCs w:val="32"/>
          <w:highlight w:val="none"/>
          <w14:textFill>
            <w14:solidFill>
              <w14:schemeClr w14:val="tx1"/>
            </w14:solidFill>
          </w14:textFill>
        </w:rPr>
        <w:sectPr>
          <w:footerReference r:id="rId5"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color w:val="000000" w:themeColor="text1"/>
          <w:sz w:val="32"/>
          <w:szCs w:val="32"/>
          <w:highlight w:val="none"/>
          <w14:textFill>
            <w14:solidFill>
              <w14:schemeClr w14:val="tx1"/>
            </w14:solidFill>
          </w14:textFill>
        </w:rPr>
      </w:pPr>
      <w:bookmarkStart w:id="172" w:name="_bookmark30"/>
      <w:bookmarkEnd w:id="172"/>
      <w:r>
        <w:rPr>
          <w:rFonts w:hint="eastAsia" w:ascii="仿宋" w:hAnsi="仿宋" w:eastAsia="仿宋"/>
          <w:b/>
          <w:bCs/>
          <w:color w:val="000000" w:themeColor="text1"/>
          <w:sz w:val="32"/>
          <w:szCs w:val="32"/>
          <w:highlight w:val="none"/>
          <w14:textFill>
            <w14:solidFill>
              <w14:schemeClr w14:val="tx1"/>
            </w14:solidFill>
          </w14:textFill>
        </w:rPr>
        <w:t>格式3</w:t>
      </w: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投标人业绩证明</w:t>
      </w:r>
    </w:p>
    <w:tbl>
      <w:tblPr>
        <w:tblStyle w:val="17"/>
        <w:tblpPr w:leftFromText="180" w:rightFromText="180" w:vertAnchor="page" w:horzAnchor="margin" w:tblpY="2800"/>
        <w:tblW w:w="8861" w:type="dxa"/>
        <w:tblInd w:w="0" w:type="dxa"/>
        <w:tblLayout w:type="fixed"/>
        <w:tblCellMar>
          <w:top w:w="0" w:type="dxa"/>
          <w:left w:w="108" w:type="dxa"/>
          <w:bottom w:w="0" w:type="dxa"/>
          <w:right w:w="108" w:type="dxa"/>
        </w:tblCellMar>
      </w:tblPr>
      <w:tblGrid>
        <w:gridCol w:w="902"/>
        <w:gridCol w:w="1751"/>
        <w:gridCol w:w="2931"/>
        <w:gridCol w:w="2375"/>
        <w:gridCol w:w="902"/>
      </w:tblGrid>
      <w:tr>
        <w:tblPrEx>
          <w:tblCellMar>
            <w:top w:w="0" w:type="dxa"/>
            <w:left w:w="108" w:type="dxa"/>
            <w:bottom w:w="0" w:type="dxa"/>
            <w:right w:w="108" w:type="dxa"/>
          </w:tblCellMar>
        </w:tblPrEx>
        <w:trPr>
          <w:trHeight w:val="364" w:hRule="atLeast"/>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序号</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项目名称</w:t>
            </w:r>
          </w:p>
        </w:tc>
        <w:tc>
          <w:tcPr>
            <w:tcW w:w="293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项目地址</w:t>
            </w:r>
          </w:p>
        </w:tc>
        <w:tc>
          <w:tcPr>
            <w:tcW w:w="237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施工时间段</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备注</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93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37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93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37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93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37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93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37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93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37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93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37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93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37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93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37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93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37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93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37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93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37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93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237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w:t>
            </w:r>
          </w:p>
        </w:tc>
      </w:tr>
    </w:tbl>
    <w:p>
      <w:pPr>
        <w:pStyle w:val="9"/>
        <w:spacing w:line="360" w:lineRule="auto"/>
        <w:ind w:firstLine="411" w:firstLineChars="147"/>
        <w:rPr>
          <w:rFonts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Cs/>
          <w:color w:val="000000" w:themeColor="text1"/>
          <w:sz w:val="28"/>
          <w:szCs w:val="28"/>
          <w:highlight w:val="none"/>
          <w14:textFill>
            <w14:solidFill>
              <w14:schemeClr w14:val="tx1"/>
            </w14:solidFill>
          </w14:textFill>
        </w:rPr>
        <w:t>投标人承诺以上项目为投标人实际</w:t>
      </w:r>
      <w:r>
        <w:rPr>
          <w:rFonts w:hint="eastAsia" w:ascii="仿宋" w:hAnsi="仿宋" w:eastAsia="仿宋"/>
          <w:bCs/>
          <w:color w:val="000000" w:themeColor="text1"/>
          <w:sz w:val="28"/>
          <w:szCs w:val="28"/>
          <w:highlight w:val="none"/>
          <w:lang w:val="en-US" w:eastAsia="zh-CN"/>
          <w14:textFill>
            <w14:solidFill>
              <w14:schemeClr w14:val="tx1"/>
            </w14:solidFill>
          </w14:textFill>
        </w:rPr>
        <w:t>的水电气接驳或同类</w:t>
      </w:r>
      <w:r>
        <w:rPr>
          <w:rFonts w:hint="eastAsia" w:ascii="仿宋" w:hAnsi="仿宋" w:eastAsia="仿宋"/>
          <w:bCs/>
          <w:color w:val="000000" w:themeColor="text1"/>
          <w:sz w:val="28"/>
          <w:szCs w:val="28"/>
          <w:highlight w:val="none"/>
          <w14:textFill>
            <w14:solidFill>
              <w14:schemeClr w14:val="tx1"/>
            </w14:solidFill>
          </w14:textFill>
        </w:rPr>
        <w:t>工程项目。如投标人成为本次项目的中标人，接受招标人对上述项目的现场核实。</w:t>
      </w:r>
    </w:p>
    <w:p>
      <w:pPr>
        <w:pStyle w:val="9"/>
        <w:spacing w:line="360" w:lineRule="auto"/>
        <w:ind w:firstLine="411" w:firstLineChars="147"/>
        <w:rPr>
          <w:rFonts w:ascii="仿宋" w:hAnsi="仿宋" w:eastAsia="仿宋"/>
          <w:bCs/>
          <w:color w:val="000000" w:themeColor="text1"/>
          <w:sz w:val="28"/>
          <w:szCs w:val="28"/>
          <w:highlight w:val="none"/>
          <w14:textFill>
            <w14:solidFill>
              <w14:schemeClr w14:val="tx1"/>
            </w14:solidFill>
          </w14:textFill>
        </w:rPr>
      </w:pPr>
    </w:p>
    <w:p>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pPr>
        <w:spacing w:line="500" w:lineRule="exact"/>
        <w:ind w:firstLine="320" w:firstLineChars="1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tabs>
          <w:tab w:val="left" w:pos="6719"/>
        </w:tabs>
        <w:spacing w:before="211" w:beforeLines="50" w:after="211" w:afterLines="50"/>
        <w:jc w:val="left"/>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ascii="仿宋" w:hAnsi="仿宋" w:eastAsia="仿宋"/>
          <w:bCs/>
          <w:color w:val="000000" w:themeColor="text1"/>
          <w:sz w:val="28"/>
          <w:szCs w:val="28"/>
          <w:highlight w:val="none"/>
          <w14:textFill>
            <w14:solidFill>
              <w14:schemeClr w14:val="tx1"/>
            </w14:solidFill>
          </w14:textFill>
        </w:rPr>
        <w:br w:type="page"/>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格式4：</w:t>
      </w:r>
    </w:p>
    <w:p>
      <w:pPr>
        <w:tabs>
          <w:tab w:val="left" w:pos="6719"/>
        </w:tabs>
        <w:spacing w:before="211" w:beforeLines="50" w:after="211" w:afterLines="50"/>
        <w:jc w:val="center"/>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智慧电箱及监测云平台技术</w:t>
      </w:r>
      <w:r>
        <w:rPr>
          <w:rFonts w:hint="eastAsia" w:ascii="仿宋" w:hAnsi="仿宋" w:eastAsia="仿宋" w:cs="仿宋"/>
          <w:b/>
          <w:color w:val="000000" w:themeColor="text1"/>
          <w:sz w:val="32"/>
          <w:szCs w:val="32"/>
          <w:highlight w:val="none"/>
          <w:lang w:val="en-US" w:eastAsia="zh-CN"/>
          <w14:textFill>
            <w14:solidFill>
              <w14:schemeClr w14:val="tx1"/>
            </w14:solidFill>
          </w14:textFill>
        </w:rPr>
        <w:t>功能及承诺</w:t>
      </w:r>
    </w:p>
    <w:p>
      <w:pPr>
        <w:tabs>
          <w:tab w:val="left" w:pos="6719"/>
        </w:tabs>
        <w:spacing w:before="211" w:beforeLines="50" w:after="211" w:afterLines="50"/>
        <w:jc w:val="center"/>
        <w:rPr>
          <w:rFonts w:hint="default"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（自有或授权使用）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6968"/>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序号</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内容</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投标人承诺能否实现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0" w:type="auto"/>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云平台能展示展会临时用电电气安全监测配电箱的温度、电流、电压电气安全参数的实时监测数据、历史数据、隐患分析数据、统计报表、检测周报等。</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0" w:type="auto"/>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云平台能查看展会临时用电电气安全监测配电箱的使用单位，隐患分布情况、隐患类型占比情况等信息。</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云平台管理终端设备，包括展会临时用电电气安全监测配电箱的运行状态、现场安装图片、故障信息、展台区域位置信息、产品身份标识，便于发生报警后</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0" w:type="auto"/>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云平台</w:t>
            </w:r>
            <w:r>
              <w:rPr>
                <w:rFonts w:hint="eastAsia" w:ascii="仿宋" w:hAnsi="仿宋" w:eastAsia="仿宋" w:cs="仿宋"/>
                <w:color w:val="000000" w:themeColor="text1"/>
                <w:sz w:val="28"/>
                <w:szCs w:val="28"/>
                <w:highlight w:val="none"/>
                <w14:textFill>
                  <w14:solidFill>
                    <w14:schemeClr w14:val="tx1"/>
                  </w14:solidFill>
                </w14:textFill>
              </w:rPr>
              <w:t>直观感</w:t>
            </w:r>
            <w:r>
              <w:rPr>
                <w:rFonts w:hint="eastAsia" w:ascii="仿宋" w:hAnsi="仿宋" w:eastAsia="仿宋" w:cs="仿宋"/>
                <w:color w:val="000000" w:themeColor="text1"/>
                <w:sz w:val="28"/>
                <w:szCs w:val="28"/>
                <w:highlight w:val="none"/>
                <w:lang w:val="en-US" w:eastAsia="zh-CN"/>
                <w14:textFill>
                  <w14:solidFill>
                    <w14:schemeClr w14:val="tx1"/>
                  </w14:solidFill>
                </w14:textFill>
              </w:rPr>
              <w:t>知</w:t>
            </w:r>
            <w:r>
              <w:rPr>
                <w:rFonts w:hint="eastAsia" w:ascii="仿宋" w:hAnsi="仿宋" w:eastAsia="仿宋" w:cs="仿宋"/>
                <w:color w:val="000000" w:themeColor="text1"/>
                <w:sz w:val="28"/>
                <w:szCs w:val="28"/>
                <w:highlight w:val="none"/>
                <w14:textFill>
                  <w14:solidFill>
                    <w14:schemeClr w14:val="tx1"/>
                  </w14:solidFill>
                </w14:textFill>
              </w:rPr>
              <w:t>展区现场设备的情况和环境。</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0" w:type="auto"/>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5</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云平台能查看驻展区的监管服务人员的现场服务次数、排除隐患与未排除隐患、报警未处理数、常规巡检及产品维护服务数据。</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0" w:type="auto"/>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云平台可以查看展区内所有临时用电单位的报警处理记录（处理时间、现场图片、处理内容及结果）及设备维护记录（维护时间、现场图片、维护内容及结果），并做统计分析</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0" w:type="auto"/>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云平台能对展区内所有临时用电单位的电气安全隐患指数评分及综合排名，并进行分别统计。</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0" w:type="auto"/>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云平台能查看展区内各个临时用电单位的电气安全运行情况的评分、电气安全运行分析报告。</w:t>
            </w:r>
          </w:p>
          <w:p>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0" w:type="auto"/>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9</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云平台具备独立账号，且可设置不同的监管服务管理权限，便于负责人和现场维护人员分级监控管理。</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0" w:type="auto"/>
            <w:tcBorders>
              <w:top w:val="single" w:color="auto" w:sz="4" w:space="0"/>
              <w:left w:val="single" w:color="auto" w:sz="4" w:space="0"/>
              <w:right w:val="single" w:color="auto" w:sz="4" w:space="0"/>
            </w:tcBorders>
            <w:vAlign w:val="center"/>
          </w:tcPr>
          <w:p>
            <w:pPr>
              <w:spacing w:line="36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10</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手机APP软件应同时具有IOS版本和安卓版本。</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0" w:type="auto"/>
            <w:tcBorders>
              <w:top w:val="single" w:color="auto" w:sz="4" w:space="0"/>
              <w:left w:val="single" w:color="auto" w:sz="4" w:space="0"/>
              <w:right w:val="single" w:color="auto" w:sz="4" w:space="0"/>
            </w:tcBorders>
            <w:vAlign w:val="center"/>
          </w:tcPr>
          <w:p>
            <w:pPr>
              <w:spacing w:line="36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11</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APP端能以数字及图形方式展示展区内各临时用电单位的各子配电回路的温度、电流、电压以及功率、频率电能等用电安全信息。</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0" w:type="auto"/>
            <w:tcBorders>
              <w:top w:val="single" w:color="auto" w:sz="4" w:space="0"/>
              <w:left w:val="single" w:color="auto" w:sz="4" w:space="0"/>
              <w:right w:val="single" w:color="auto" w:sz="4" w:space="0"/>
            </w:tcBorders>
            <w:vAlign w:val="center"/>
          </w:tcPr>
          <w:p>
            <w:pPr>
              <w:spacing w:line="36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12</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APP端能查看展会临时用电电气安全监测配电箱的运行状态、故障信息、产品身份标识等，并能随时修改设备的名称。</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0" w:type="auto"/>
            <w:tcBorders>
              <w:top w:val="single" w:color="auto" w:sz="4" w:space="0"/>
              <w:left w:val="single" w:color="auto" w:sz="4" w:space="0"/>
              <w:right w:val="single" w:color="auto" w:sz="4" w:space="0"/>
            </w:tcBorders>
            <w:vAlign w:val="center"/>
          </w:tcPr>
          <w:p>
            <w:pPr>
              <w:spacing w:line="36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13</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APP端能对展区内展会临时用电电气安全监测配电箱的参数进行远程设定及修改功能，但必须通过密码验证。</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0" w:type="auto"/>
            <w:tcBorders>
              <w:top w:val="single" w:color="auto" w:sz="4" w:space="0"/>
              <w:left w:val="single" w:color="auto" w:sz="4" w:space="0"/>
              <w:right w:val="single" w:color="auto" w:sz="4" w:space="0"/>
            </w:tcBorders>
            <w:vAlign w:val="center"/>
          </w:tcPr>
          <w:p>
            <w:pPr>
              <w:spacing w:line="36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14</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APP端能查看展区内每台展会临时用电电气安全监测配电箱的现场安装图片、展台区域位置信息，以地图的形式展示所有安装单位和设备的分布情况。</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right w:val="single" w:color="auto" w:sz="4" w:space="0"/>
            </w:tcBorders>
            <w:vAlign w:val="center"/>
          </w:tcPr>
          <w:p>
            <w:pPr>
              <w:spacing w:line="36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15</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APP端能查看每台展会临时用电电气安全监测配电箱的报警记录，并能通过APP调取设备所属临时用电单位负责人的电话，进行呼叫</w:t>
            </w:r>
            <w:r>
              <w:rPr>
                <w:rFonts w:hint="eastAsia" w:ascii="仿宋" w:hAnsi="仿宋" w:eastAsia="仿宋" w:cs="仿宋"/>
                <w:color w:val="000000" w:themeColor="text1"/>
                <w:sz w:val="28"/>
                <w:szCs w:val="28"/>
                <w:highlight w:val="none"/>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right w:val="single" w:color="auto" w:sz="4" w:space="0"/>
            </w:tcBorders>
            <w:vAlign w:val="center"/>
          </w:tcPr>
          <w:p>
            <w:pPr>
              <w:spacing w:line="36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16</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APP端能新增报警处理记录，以便于现场监管服务人员录入安全隐患的报警处理、隐患排查、日常巡检服务过程等信息</w:t>
            </w:r>
            <w:r>
              <w:rPr>
                <w:rFonts w:hint="eastAsia" w:ascii="仿宋" w:hAnsi="仿宋" w:eastAsia="仿宋" w:cs="仿宋"/>
                <w:color w:val="000000" w:themeColor="text1"/>
                <w:sz w:val="28"/>
                <w:szCs w:val="28"/>
                <w:highlight w:val="none"/>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right w:val="single" w:color="auto" w:sz="4" w:space="0"/>
            </w:tcBorders>
            <w:vAlign w:val="center"/>
          </w:tcPr>
          <w:p>
            <w:pPr>
              <w:spacing w:line="360" w:lineRule="auto"/>
              <w:jc w:val="center"/>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17</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APP端能查看展区内所有临时用电单位的电气安全隐患指数评分、综合排名，并可导出相关的报表信息</w:t>
            </w:r>
            <w:r>
              <w:rPr>
                <w:rFonts w:hint="eastAsia" w:ascii="仿宋" w:hAnsi="仿宋" w:eastAsia="仿宋" w:cs="仿宋"/>
                <w:color w:val="000000" w:themeColor="text1"/>
                <w:sz w:val="28"/>
                <w:szCs w:val="28"/>
                <w:highlight w:val="none"/>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0"/>
              </w:tabs>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18</w:t>
            </w: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cs="仿宋"/>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智能化电箱：</w:t>
            </w:r>
            <w:r>
              <w:rPr>
                <w:rFonts w:hint="eastAsia" w:ascii="仿宋" w:hAnsi="仿宋" w:eastAsia="仿宋" w:cs="仿宋"/>
                <w:bCs/>
                <w:color w:val="000000" w:themeColor="text1"/>
                <w:sz w:val="28"/>
                <w:szCs w:val="28"/>
                <w:highlight w:val="none"/>
                <w14:textFill>
                  <w14:solidFill>
                    <w14:schemeClr w14:val="tx1"/>
                  </w14:solidFill>
                </w14:textFill>
              </w:rPr>
              <w:t>适用对象要求：220V-400V展馆临时用电、配电需求</w:t>
            </w:r>
            <w:r>
              <w:rPr>
                <w:rFonts w:hint="eastAsia" w:ascii="仿宋" w:hAnsi="仿宋" w:eastAsia="仿宋" w:cs="仿宋"/>
                <w:bCs/>
                <w:color w:val="000000" w:themeColor="text1"/>
                <w:sz w:val="28"/>
                <w:szCs w:val="28"/>
                <w:highlight w:val="none"/>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tcPr>
          <w:p>
            <w:pPr>
              <w:spacing w:line="360" w:lineRule="auto"/>
              <w:ind w:left="420"/>
              <w:jc w:val="left"/>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19</w:t>
            </w: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cs="仿宋"/>
                <w:bCs/>
                <w:color w:val="000000" w:themeColor="text1"/>
                <w:sz w:val="28"/>
                <w:szCs w:val="28"/>
                <w:highlight w:val="none"/>
                <w:lang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智能化电箱：</w:t>
            </w:r>
            <w:r>
              <w:rPr>
                <w:rFonts w:hint="eastAsia" w:ascii="仿宋" w:hAnsi="仿宋" w:eastAsia="仿宋" w:cs="仿宋"/>
                <w:bCs/>
                <w:color w:val="000000" w:themeColor="text1"/>
                <w:sz w:val="28"/>
                <w:szCs w:val="28"/>
                <w:highlight w:val="none"/>
                <w14:textFill>
                  <w14:solidFill>
                    <w14:schemeClr w14:val="tx1"/>
                  </w14:solidFill>
                </w14:textFill>
              </w:rPr>
              <w:t>应能同时探测剩余电流、温度、电流、电压等用电安全参数，且产品可靠性高，抗干扰好</w:t>
            </w:r>
            <w:r>
              <w:rPr>
                <w:rFonts w:hint="eastAsia" w:ascii="仿宋" w:hAnsi="仿宋" w:eastAsia="仿宋" w:cs="仿宋"/>
                <w:bCs/>
                <w:color w:val="000000" w:themeColor="text1"/>
                <w:sz w:val="28"/>
                <w:szCs w:val="28"/>
                <w:highlight w:val="none"/>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tcPr>
          <w:p>
            <w:pPr>
              <w:spacing w:line="360" w:lineRule="auto"/>
              <w:ind w:left="420"/>
              <w:jc w:val="left"/>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20</w:t>
            </w: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cs="仿宋"/>
                <w:bCs/>
                <w:color w:val="000000" w:themeColor="text1"/>
                <w:sz w:val="28"/>
                <w:szCs w:val="28"/>
                <w:highlight w:val="none"/>
                <w:lang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智能化电箱：</w:t>
            </w:r>
            <w:r>
              <w:rPr>
                <w:rFonts w:hint="eastAsia" w:ascii="仿宋" w:hAnsi="仿宋" w:eastAsia="仿宋" w:cs="仿宋"/>
                <w:bCs/>
                <w:color w:val="000000" w:themeColor="text1"/>
                <w:sz w:val="28"/>
                <w:szCs w:val="28"/>
                <w:highlight w:val="none"/>
                <w14:textFill>
                  <w14:solidFill>
                    <w14:schemeClr w14:val="tx1"/>
                  </w14:solidFill>
                </w14:textFill>
              </w:rPr>
              <w:t>须可同时监测配电回路的相线及零线的温度参数，三相四线制配电回路为L1相、L2相、L3相及零线的关键配电节点温度；两相配电回路为L相和零线的关键配电节点温度</w:t>
            </w:r>
            <w:r>
              <w:rPr>
                <w:rFonts w:hint="eastAsia" w:ascii="仿宋" w:hAnsi="仿宋" w:eastAsia="仿宋" w:cs="仿宋"/>
                <w:bCs/>
                <w:color w:val="000000" w:themeColor="text1"/>
                <w:sz w:val="28"/>
                <w:szCs w:val="28"/>
                <w:highlight w:val="none"/>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tcPr>
          <w:p>
            <w:pPr>
              <w:spacing w:line="360" w:lineRule="auto"/>
              <w:ind w:left="420"/>
              <w:jc w:val="left"/>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21</w:t>
            </w: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cs="仿宋"/>
                <w:bCs/>
                <w:color w:val="000000" w:themeColor="text1"/>
                <w:sz w:val="28"/>
                <w:szCs w:val="28"/>
                <w:highlight w:val="none"/>
                <w:lang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智能化电箱：</w:t>
            </w:r>
            <w:r>
              <w:rPr>
                <w:rFonts w:hint="eastAsia" w:ascii="仿宋" w:hAnsi="仿宋" w:eastAsia="仿宋" w:cs="仿宋"/>
                <w:bCs/>
                <w:color w:val="000000" w:themeColor="text1"/>
                <w:sz w:val="28"/>
                <w:szCs w:val="28"/>
                <w:highlight w:val="none"/>
                <w14:textFill>
                  <w14:solidFill>
                    <w14:schemeClr w14:val="tx1"/>
                  </w14:solidFill>
                </w14:textFill>
              </w:rPr>
              <w:t>配电箱内的断路器需采用久经国内外市场和时间考验的知名品牌断路器，品牌历史不低于10年</w:t>
            </w:r>
            <w:r>
              <w:rPr>
                <w:rFonts w:hint="eastAsia" w:ascii="仿宋" w:hAnsi="仿宋" w:eastAsia="仿宋" w:cs="仿宋"/>
                <w:bCs/>
                <w:color w:val="000000" w:themeColor="text1"/>
                <w:sz w:val="28"/>
                <w:szCs w:val="28"/>
                <w:highlight w:val="none"/>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tcPr>
          <w:p>
            <w:pPr>
              <w:spacing w:line="360" w:lineRule="auto"/>
              <w:ind w:left="420"/>
              <w:jc w:val="left"/>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22</w:t>
            </w: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智能化电箱：</w:t>
            </w:r>
            <w:r>
              <w:rPr>
                <w:rFonts w:hint="eastAsia" w:ascii="仿宋" w:hAnsi="仿宋" w:eastAsia="仿宋" w:cs="仿宋"/>
                <w:bCs/>
                <w:color w:val="000000" w:themeColor="text1"/>
                <w:sz w:val="28"/>
                <w:szCs w:val="28"/>
                <w:highlight w:val="none"/>
                <w14:textFill>
                  <w14:solidFill>
                    <w14:schemeClr w14:val="tx1"/>
                  </w14:solidFill>
                </w14:textFill>
              </w:rPr>
              <w:t>用电数据采集模块的物理结构需独立于断路器的主体以外，不应和断路器的主体存在除进出线接线端子以外的任何物理性接触结构，以保证断路器的散热及保护功能稳定、可靠，不受干扰。</w:t>
            </w:r>
          </w:p>
        </w:tc>
        <w:tc>
          <w:tcPr>
            <w:tcW w:w="0" w:type="auto"/>
            <w:tcBorders>
              <w:top w:val="single" w:color="auto" w:sz="4" w:space="0"/>
              <w:left w:val="single" w:color="auto" w:sz="4" w:space="0"/>
              <w:bottom w:val="single" w:color="auto" w:sz="4" w:space="0"/>
              <w:right w:val="single" w:color="auto" w:sz="4" w:space="0"/>
            </w:tcBorders>
          </w:tcPr>
          <w:p>
            <w:pPr>
              <w:spacing w:line="360" w:lineRule="auto"/>
              <w:ind w:left="420"/>
              <w:jc w:val="left"/>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23</w:t>
            </w: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智能化电箱：</w:t>
            </w:r>
            <w:r>
              <w:rPr>
                <w:rFonts w:hint="eastAsia" w:ascii="仿宋" w:hAnsi="仿宋" w:eastAsia="仿宋" w:cs="仿宋"/>
                <w:bCs/>
                <w:color w:val="000000" w:themeColor="text1"/>
                <w:sz w:val="28"/>
                <w:szCs w:val="28"/>
                <w:highlight w:val="none"/>
                <w14:textFill>
                  <w14:solidFill>
                    <w14:schemeClr w14:val="tx1"/>
                  </w14:solidFill>
                </w14:textFill>
              </w:rPr>
              <w:t>用电数据采集模块应采用一体化设计结构，其通信模块、工作电源模块、信号处理模块等内置在同一壳体封装。</w:t>
            </w:r>
          </w:p>
        </w:tc>
        <w:tc>
          <w:tcPr>
            <w:tcW w:w="0" w:type="auto"/>
            <w:tcBorders>
              <w:top w:val="single" w:color="auto" w:sz="4" w:space="0"/>
              <w:left w:val="single" w:color="auto" w:sz="4" w:space="0"/>
              <w:bottom w:val="single" w:color="auto" w:sz="4" w:space="0"/>
              <w:right w:val="single" w:color="auto" w:sz="4" w:space="0"/>
            </w:tcBorders>
          </w:tcPr>
          <w:p>
            <w:pPr>
              <w:spacing w:line="360" w:lineRule="auto"/>
              <w:ind w:left="420"/>
              <w:jc w:val="left"/>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24</w:t>
            </w: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智能化</w:t>
            </w:r>
            <w:r>
              <w:rPr>
                <w:rFonts w:hint="eastAsia" w:ascii="仿宋" w:hAnsi="仿宋" w:eastAsia="仿宋" w:cs="仿宋"/>
                <w:bCs/>
                <w:color w:val="000000" w:themeColor="text1"/>
                <w:sz w:val="28"/>
                <w:szCs w:val="28"/>
                <w:highlight w:val="none"/>
                <w14:textFill>
                  <w14:solidFill>
                    <w14:schemeClr w14:val="tx1"/>
                  </w14:solidFill>
                </w14:textFill>
              </w:rPr>
              <w:t>电箱内断路器的电压、电流及功率阈值，不能采用电子限定手段，均应基于物理特性所限定，且不具有可调节性，以确保其保护特性在采集模模块工作电源失效的情况下，依然稳定可靠。</w:t>
            </w:r>
          </w:p>
        </w:tc>
        <w:tc>
          <w:tcPr>
            <w:tcW w:w="0" w:type="auto"/>
            <w:tcBorders>
              <w:top w:val="single" w:color="auto" w:sz="4" w:space="0"/>
              <w:left w:val="single" w:color="auto" w:sz="4" w:space="0"/>
              <w:bottom w:val="single" w:color="auto" w:sz="4" w:space="0"/>
              <w:right w:val="single" w:color="auto" w:sz="4" w:space="0"/>
            </w:tcBorders>
          </w:tcPr>
          <w:p>
            <w:pPr>
              <w:spacing w:line="360" w:lineRule="auto"/>
              <w:ind w:left="420"/>
              <w:jc w:val="left"/>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25</w:t>
            </w: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智能化电箱：</w:t>
            </w:r>
            <w:r>
              <w:rPr>
                <w:rFonts w:hint="eastAsia" w:ascii="仿宋" w:hAnsi="仿宋" w:eastAsia="仿宋" w:cs="仿宋"/>
                <w:bCs/>
                <w:color w:val="000000" w:themeColor="text1"/>
                <w:sz w:val="28"/>
                <w:szCs w:val="28"/>
                <w:highlight w:val="none"/>
                <w14:textFill>
                  <w14:solidFill>
                    <w14:schemeClr w14:val="tx1"/>
                  </w14:solidFill>
                </w14:textFill>
              </w:rPr>
              <w:t>支持2家以上运营商的4G通信频段,以确保其在展区内的通讯信号较弱的区域，依然可以稳定可靠的进行数据传输。</w:t>
            </w:r>
          </w:p>
        </w:tc>
        <w:tc>
          <w:tcPr>
            <w:tcW w:w="0" w:type="auto"/>
            <w:tcBorders>
              <w:top w:val="single" w:color="auto" w:sz="4" w:space="0"/>
              <w:left w:val="single" w:color="auto" w:sz="4" w:space="0"/>
              <w:bottom w:val="single" w:color="auto" w:sz="4" w:space="0"/>
              <w:right w:val="single" w:color="auto" w:sz="4" w:space="0"/>
            </w:tcBorders>
          </w:tcPr>
          <w:p>
            <w:pPr>
              <w:spacing w:line="360" w:lineRule="auto"/>
              <w:ind w:left="420"/>
              <w:jc w:val="left"/>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26</w:t>
            </w: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cs="仿宋"/>
                <w:bCs/>
                <w:color w:val="000000" w:themeColor="text1"/>
                <w:sz w:val="28"/>
                <w:szCs w:val="28"/>
                <w:highlight w:val="none"/>
                <w:lang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智能化电箱：</w:t>
            </w:r>
            <w:r>
              <w:rPr>
                <w:rFonts w:hint="eastAsia" w:ascii="仿宋" w:hAnsi="仿宋" w:eastAsia="仿宋" w:cs="仿宋"/>
                <w:bCs/>
                <w:color w:val="000000" w:themeColor="text1"/>
                <w:sz w:val="28"/>
                <w:szCs w:val="28"/>
                <w:highlight w:val="none"/>
                <w14:textFill>
                  <w14:solidFill>
                    <w14:schemeClr w14:val="tx1"/>
                  </w14:solidFill>
                </w14:textFill>
              </w:rPr>
              <w:t>剩余电流报警设定值区间：10mA～1000mA</w:t>
            </w:r>
            <w:r>
              <w:rPr>
                <w:rFonts w:hint="eastAsia" w:ascii="仿宋" w:hAnsi="仿宋" w:eastAsia="仿宋" w:cs="仿宋"/>
                <w:bCs/>
                <w:color w:val="000000" w:themeColor="text1"/>
                <w:sz w:val="28"/>
                <w:szCs w:val="28"/>
                <w:highlight w:val="none"/>
                <w:lang w:eastAsia="zh-CN"/>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tcPr>
          <w:p>
            <w:pPr>
              <w:spacing w:line="360" w:lineRule="auto"/>
              <w:ind w:left="420"/>
              <w:jc w:val="left"/>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27</w:t>
            </w: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智能化电箱：</w:t>
            </w:r>
            <w:r>
              <w:rPr>
                <w:rFonts w:hint="eastAsia" w:ascii="仿宋" w:hAnsi="仿宋" w:eastAsia="仿宋" w:cs="仿宋"/>
                <w:bCs/>
                <w:color w:val="000000" w:themeColor="text1"/>
                <w:sz w:val="28"/>
                <w:szCs w:val="28"/>
                <w:highlight w:val="none"/>
                <w14:textFill>
                  <w14:solidFill>
                    <w14:schemeClr w14:val="tx1"/>
                  </w14:solidFill>
                </w14:textFill>
              </w:rPr>
              <w:t>采集范围与精度要求</w:t>
            </w:r>
          </w:p>
          <w:p>
            <w:pPr>
              <w:spacing w:line="360" w:lineRule="auto"/>
              <w:ind w:left="420"/>
              <w:jc w:val="lef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 xml:space="preserve">剩余电流：0~1000mA    误差&lt;5% 。     </w:t>
            </w:r>
          </w:p>
          <w:p>
            <w:pPr>
              <w:spacing w:line="360" w:lineRule="auto"/>
              <w:ind w:left="420"/>
              <w:jc w:val="lef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电    流：0~400A      误差&lt;0.5%。</w:t>
            </w:r>
          </w:p>
          <w:p>
            <w:pPr>
              <w:spacing w:line="360" w:lineRule="auto"/>
              <w:ind w:left="420"/>
              <w:jc w:val="lef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电    压：0~400V      误差&lt;0.5%。</w:t>
            </w:r>
          </w:p>
          <w:p>
            <w:pPr>
              <w:spacing w:line="360" w:lineRule="auto"/>
              <w:ind w:left="420"/>
              <w:jc w:val="lef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温    度：0~140℃     误差&lt;0.5%。</w:t>
            </w:r>
          </w:p>
        </w:tc>
        <w:tc>
          <w:tcPr>
            <w:tcW w:w="0" w:type="auto"/>
            <w:tcBorders>
              <w:top w:val="single" w:color="auto" w:sz="4" w:space="0"/>
              <w:left w:val="single" w:color="auto" w:sz="4" w:space="0"/>
              <w:bottom w:val="single" w:color="auto" w:sz="4" w:space="0"/>
              <w:right w:val="single" w:color="auto" w:sz="4" w:space="0"/>
            </w:tcBorders>
          </w:tcPr>
          <w:p>
            <w:pPr>
              <w:spacing w:line="360" w:lineRule="auto"/>
              <w:ind w:left="420"/>
              <w:jc w:val="left"/>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28</w:t>
            </w: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智能化电箱</w:t>
            </w:r>
            <w:r>
              <w:rPr>
                <w:rFonts w:hint="eastAsia" w:ascii="仿宋" w:hAnsi="仿宋" w:eastAsia="仿宋" w:cs="仿宋"/>
                <w:bCs/>
                <w:color w:val="000000" w:themeColor="text1"/>
                <w:sz w:val="28"/>
                <w:szCs w:val="28"/>
                <w:highlight w:val="none"/>
                <w14:textFill>
                  <w14:solidFill>
                    <w14:schemeClr w14:val="tx1"/>
                  </w14:solidFill>
                </w14:textFill>
              </w:rPr>
              <w:t>用电数据采集模块信号灯指示要求</w:t>
            </w:r>
          </w:p>
          <w:p>
            <w:pPr>
              <w:spacing w:line="360" w:lineRule="auto"/>
              <w:ind w:left="420"/>
              <w:jc w:val="lef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 xml:space="preserve">电源/工作指示灯：具备 。       </w:t>
            </w:r>
          </w:p>
          <w:p>
            <w:pPr>
              <w:spacing w:line="360" w:lineRule="auto"/>
              <w:ind w:left="420"/>
              <w:jc w:val="lef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 xml:space="preserve">无线通信信号灯：具备。    </w:t>
            </w:r>
          </w:p>
          <w:p>
            <w:pPr>
              <w:spacing w:line="360" w:lineRule="auto"/>
              <w:ind w:left="420"/>
              <w:jc w:val="lef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 xml:space="preserve">报警提示灯：具备 。       </w:t>
            </w:r>
          </w:p>
        </w:tc>
        <w:tc>
          <w:tcPr>
            <w:tcW w:w="0" w:type="auto"/>
            <w:tcBorders>
              <w:top w:val="single" w:color="auto" w:sz="4" w:space="0"/>
              <w:left w:val="single" w:color="auto" w:sz="4" w:space="0"/>
              <w:bottom w:val="single" w:color="auto" w:sz="4" w:space="0"/>
              <w:right w:val="single" w:color="auto" w:sz="4" w:space="0"/>
            </w:tcBorders>
          </w:tcPr>
          <w:p>
            <w:pPr>
              <w:spacing w:line="360" w:lineRule="auto"/>
              <w:ind w:left="420"/>
              <w:jc w:val="left"/>
              <w:rPr>
                <w:rFonts w:hint="eastAsia" w:ascii="仿宋" w:hAnsi="仿宋" w:eastAsia="仿宋" w:cs="仿宋"/>
                <w:color w:val="000000" w:themeColor="text1"/>
                <w:sz w:val="28"/>
                <w:szCs w:val="28"/>
                <w:highlight w:val="none"/>
                <w14:textFill>
                  <w14:solidFill>
                    <w14:schemeClr w14:val="tx1"/>
                  </w14:solidFill>
                </w14:textFill>
              </w:rPr>
            </w:pPr>
          </w:p>
        </w:tc>
      </w:tr>
    </w:tbl>
    <w:p>
      <w:pPr>
        <w:pStyle w:val="2"/>
        <w:spacing w:after="120" w:afterLines="50"/>
        <w:jc w:val="left"/>
        <w:rPr>
          <w:rFonts w:hint="default" w:ascii="仿宋" w:hAnsi="仿宋" w:eastAsia="仿宋" w:cs="仿宋"/>
          <w:color w:val="000000" w:themeColor="text1"/>
          <w:kern w:val="0"/>
          <w:sz w:val="28"/>
          <w:szCs w:val="28"/>
          <w:highlight w:val="none"/>
          <w:lang w:val="en-US" w:eastAsia="zh-CN"/>
          <w14:textFill>
            <w14:solidFill>
              <w14:schemeClr w14:val="tx1"/>
            </w14:solidFill>
          </w14:textFill>
        </w:rPr>
      </w:pPr>
      <w:bookmarkStart w:id="173" w:name="_Toc32410"/>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本单位自有或授权使用的云平台及智慧电箱功能如上述，本单位对以上进行承诺。</w:t>
      </w:r>
      <w:bookmarkEnd w:id="173"/>
    </w:p>
    <w:p>
      <w:pP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 xml:space="preserve">                          投标单位：</w:t>
      </w:r>
    </w:p>
    <w:p>
      <w:pPr>
        <w:pStyle w:val="9"/>
        <w:rPr>
          <w:rFonts w:hint="default"/>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 xml:space="preserve">                                      （盖章）</w:t>
      </w:r>
    </w:p>
    <w:p>
      <w:pPr>
        <w:jc w:val="left"/>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br w:type="page"/>
      </w: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5</w:t>
      </w:r>
      <w:r>
        <w:rPr>
          <w:rFonts w:hint="eastAsia" w:ascii="仿宋" w:hAnsi="仿宋" w:eastAsia="仿宋"/>
          <w:b/>
          <w:bCs/>
          <w:color w:val="000000" w:themeColor="text1"/>
          <w:sz w:val="32"/>
          <w:szCs w:val="32"/>
          <w:highlight w:val="none"/>
          <w14:textFill>
            <w14:solidFill>
              <w14:schemeClr w14:val="tx1"/>
            </w14:solidFill>
          </w14:textFill>
        </w:rPr>
        <w:t xml:space="preserve">  </w:t>
      </w:r>
    </w:p>
    <w:p>
      <w:pPr>
        <w:spacing w:before="120" w:beforeLines="50" w:after="120" w:afterLines="50"/>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带“★”号条款逐条响应情况表</w:t>
      </w:r>
    </w:p>
    <w:p>
      <w:pPr>
        <w:spacing w:line="38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项目名称：</w:t>
      </w:r>
      <w:r>
        <w:rPr>
          <w:rFonts w:hint="eastAsia" w:ascii="仿宋" w:hAnsi="仿宋" w:eastAsia="仿宋"/>
          <w:color w:val="000000" w:themeColor="text1"/>
          <w:sz w:val="32"/>
          <w:szCs w:val="32"/>
          <w:highlight w:val="none"/>
          <w14:textFill>
            <w14:solidFill>
              <w14:schemeClr w14:val="tx1"/>
            </w14:solidFill>
          </w14:textFill>
        </w:rPr>
        <w:t xml:space="preserve">        招标编号</w:t>
      </w:r>
      <w:r>
        <w:rPr>
          <w:rFonts w:hint="eastAsia" w:ascii="仿宋" w:hAnsi="仿宋" w:eastAsia="仿宋" w:cs="宋体"/>
          <w:color w:val="000000" w:themeColor="text1"/>
          <w:sz w:val="32"/>
          <w:szCs w:val="32"/>
          <w:highlight w:val="none"/>
          <w14:textFill>
            <w14:solidFill>
              <w14:schemeClr w14:val="tx1"/>
            </w14:solidFill>
          </w14:textFill>
        </w:rPr>
        <w:t>：</w:t>
      </w:r>
    </w:p>
    <w:tbl>
      <w:tblPr>
        <w:tblStyle w:val="17"/>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序号</w:t>
            </w:r>
          </w:p>
        </w:tc>
        <w:tc>
          <w:tcPr>
            <w:tcW w:w="3276"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招标文件中带“★”号的条款</w:t>
            </w:r>
          </w:p>
        </w:tc>
        <w:tc>
          <w:tcPr>
            <w:tcW w:w="1836"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投标响应</w:t>
            </w:r>
            <w:r>
              <w:rPr>
                <w:rFonts w:hint="eastAsia" w:ascii="仿宋" w:hAnsi="仿宋" w:eastAsia="仿宋"/>
                <w:color w:val="000000" w:themeColor="text1"/>
                <w:sz w:val="32"/>
                <w:szCs w:val="32"/>
                <w:highlight w:val="none"/>
                <w14:textFill>
                  <w14:solidFill>
                    <w14:schemeClr w14:val="tx1"/>
                  </w14:solidFill>
                </w14:textFill>
              </w:rPr>
              <w:t>内容</w:t>
            </w:r>
          </w:p>
        </w:tc>
        <w:tc>
          <w:tcPr>
            <w:tcW w:w="2676"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000000" w:themeColor="text1"/>
                <w:sz w:val="32"/>
                <w:szCs w:val="32"/>
                <w:highlight w:val="none"/>
                <w14:textFill>
                  <w14:solidFill>
                    <w14:schemeClr w14:val="tx1"/>
                  </w14:solidFill>
                </w14:textFill>
              </w:rPr>
            </w:pPr>
          </w:p>
        </w:tc>
        <w:tc>
          <w:tcPr>
            <w:tcW w:w="3276" w:type="dxa"/>
            <w:vAlign w:val="center"/>
          </w:tcPr>
          <w:p>
            <w:pPr>
              <w:spacing w:line="300" w:lineRule="exact"/>
              <w:rPr>
                <w:rFonts w:ascii="仿宋" w:hAnsi="仿宋" w:eastAsia="仿宋" w:cs="宋体"/>
                <w:bCs/>
                <w:color w:val="000000" w:themeColor="text1"/>
                <w:kern w:val="0"/>
                <w:sz w:val="32"/>
                <w:szCs w:val="32"/>
                <w:highlight w:val="none"/>
                <w14:textFill>
                  <w14:solidFill>
                    <w14:schemeClr w14:val="tx1"/>
                  </w14:solidFill>
                </w14:textFill>
              </w:rPr>
            </w:pPr>
          </w:p>
        </w:tc>
        <w:tc>
          <w:tcPr>
            <w:tcW w:w="183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c>
          <w:tcPr>
            <w:tcW w:w="2676" w:type="dxa"/>
            <w:vAlign w:val="center"/>
          </w:tcPr>
          <w:p>
            <w:pPr>
              <w:spacing w:line="300" w:lineRule="exact"/>
              <w:rPr>
                <w:rFonts w:ascii="仿宋" w:hAnsi="仿宋" w:eastAsia="仿宋"/>
                <w:color w:val="000000" w:themeColor="text1"/>
                <w:sz w:val="32"/>
                <w:szCs w:val="32"/>
                <w:highlight w:val="none"/>
                <w14:textFill>
                  <w14:solidFill>
                    <w14:schemeClr w14:val="tx1"/>
                  </w14:solidFill>
                </w14:textFill>
              </w:rPr>
            </w:pPr>
          </w:p>
        </w:tc>
      </w:tr>
    </w:tbl>
    <w:p>
      <w:pPr>
        <w:spacing w:line="540" w:lineRule="exact"/>
        <w:ind w:firstLine="643" w:firstLineChars="200"/>
        <w:jc w:val="left"/>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投标人全称（加盖公章）：</w:t>
      </w:r>
    </w:p>
    <w:p>
      <w:pPr>
        <w:spacing w:line="540" w:lineRule="exact"/>
        <w:ind w:firstLine="5600" w:firstLineChars="175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pPr>
        <w:spacing w:line="540" w:lineRule="exact"/>
        <w:ind w:firstLine="5600" w:firstLineChars="175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日   期： </w:t>
      </w:r>
    </w:p>
    <w:p>
      <w:pPr>
        <w:jc w:val="left"/>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br w:type="page"/>
      </w: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6</w:t>
      </w:r>
      <w:r>
        <w:rPr>
          <w:rFonts w:hint="eastAsia" w:ascii="仿宋" w:hAnsi="仿宋" w:eastAsia="仿宋"/>
          <w:b/>
          <w:bCs/>
          <w:color w:val="000000" w:themeColor="text1"/>
          <w:sz w:val="32"/>
          <w:szCs w:val="32"/>
          <w:highlight w:val="none"/>
          <w14:textFill>
            <w14:solidFill>
              <w14:schemeClr w14:val="tx1"/>
            </w14:solidFill>
          </w14:textFill>
        </w:rPr>
        <w:t xml:space="preserve">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法人营业执照</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展服智慧（厦门）物业服务有限公司</w:t>
      </w: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现附上由（签发机关名称）签发的我方法人营业执照副本复印件，该执照真实有效。</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（注：</w:t>
      </w:r>
      <w:r>
        <w:rPr>
          <w:rFonts w:hint="eastAsia" w:ascii="仿宋" w:hAnsi="仿宋" w:eastAsia="仿宋"/>
          <w:color w:val="000000" w:themeColor="text1"/>
          <w:sz w:val="32"/>
          <w:szCs w:val="32"/>
          <w:highlight w:val="none"/>
          <w:lang w:val="en-US" w:eastAsia="zh-CN"/>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法人营业执照提供复印件，由企业加盖公章并注明复印件与原件一致</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b w:val="0"/>
          <w:bCs w:val="0"/>
          <w:color w:val="000000" w:themeColor="text1"/>
          <w:sz w:val="32"/>
          <w:szCs w:val="32"/>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32"/>
          <w:szCs w:val="32"/>
          <w:highlight w:val="none"/>
          <w14:textFill>
            <w14:solidFill>
              <w14:schemeClr w14:val="tx1"/>
            </w14:solidFill>
          </w14:textFill>
        </w:rPr>
        <w:t>投标人代表不是法定代表人的，应提供法定代表人授权书原件，以及投标人代表的身份证复印件</w:t>
      </w:r>
      <w:r>
        <w:rPr>
          <w:rFonts w:hint="eastAsia" w:ascii="仿宋" w:hAnsi="仿宋" w:eastAsia="仿宋"/>
          <w:b w:val="0"/>
          <w:bCs w:val="0"/>
          <w:color w:val="000000" w:themeColor="text1"/>
          <w:sz w:val="32"/>
          <w:szCs w:val="32"/>
          <w:highlight w:val="none"/>
          <w14:textFill>
            <w14:solidFill>
              <w14:schemeClr w14:val="tx1"/>
            </w14:solidFill>
          </w14:textFill>
        </w:rPr>
        <w:t>）</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ind w:firstLine="4800" w:firstLineChars="15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 标 人（全称并加盖公章）：</w:t>
      </w:r>
    </w:p>
    <w:p>
      <w:pPr>
        <w:spacing w:line="500" w:lineRule="exact"/>
        <w:ind w:firstLine="4800" w:firstLineChars="15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pPr>
        <w:spacing w:line="500" w:lineRule="exact"/>
        <w:ind w:firstLine="4800" w:firstLineChars="15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br w:type="page"/>
      </w:r>
    </w:p>
    <w:p>
      <w:pPr>
        <w:spacing w:line="220" w:lineRule="atLeast"/>
        <w:jc w:val="left"/>
        <w:rPr>
          <w:rFonts w:hint="eastAsia" w:ascii="仿宋" w:hAnsi="仿宋" w:eastAsia="仿宋"/>
          <w:b/>
          <w:bCs/>
          <w:color w:val="000000" w:themeColor="text1"/>
          <w:sz w:val="32"/>
          <w:szCs w:val="32"/>
          <w:highlight w:val="none"/>
          <w:lang w:eastAsia="zh-CN"/>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7</w:t>
      </w:r>
    </w:p>
    <w:p>
      <w:pPr>
        <w:spacing w:line="220" w:lineRule="atLeast"/>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廉洁诚信承诺书</w:t>
      </w:r>
    </w:p>
    <w:p>
      <w:pPr>
        <w:spacing w:line="300" w:lineRule="exact"/>
        <w:jc w:val="center"/>
        <w:rPr>
          <w:rFonts w:ascii="仿宋" w:hAnsi="仿宋" w:eastAsia="仿宋"/>
          <w:b/>
          <w:color w:val="000000" w:themeColor="text1"/>
          <w:sz w:val="28"/>
          <w:szCs w:val="28"/>
          <w:highlight w:val="none"/>
          <w14:textFill>
            <w14:solidFill>
              <w14:schemeClr w14:val="tx1"/>
            </w14:solidFill>
          </w14:textFill>
        </w:rPr>
      </w:pPr>
    </w:p>
    <w:p>
      <w:pPr>
        <w:spacing w:line="360" w:lineRule="auto"/>
        <w:ind w:left="-401" w:leftChars="-191"/>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致</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展服智慧（厦门）物业服务</w:t>
      </w:r>
      <w:r>
        <w:rPr>
          <w:rFonts w:hint="eastAsia" w:ascii="仿宋" w:hAnsi="仿宋" w:eastAsia="仿宋"/>
          <w:color w:val="000000" w:themeColor="text1"/>
          <w:sz w:val="32"/>
          <w:szCs w:val="32"/>
          <w:highlight w:val="none"/>
          <w:u w:val="single"/>
          <w14:textFill>
            <w14:solidFill>
              <w14:schemeClr w14:val="tx1"/>
            </w14:solidFill>
          </w14:textFill>
        </w:rPr>
        <w:t>有限公司</w:t>
      </w:r>
      <w:r>
        <w:rPr>
          <w:rFonts w:hint="eastAsia" w:ascii="仿宋" w:hAnsi="仿宋" w:eastAsia="仿宋"/>
          <w:color w:val="000000" w:themeColor="text1"/>
          <w:sz w:val="32"/>
          <w:szCs w:val="32"/>
          <w:highlight w:val="none"/>
          <w14:textFill>
            <w14:solidFill>
              <w14:schemeClr w14:val="tx1"/>
            </w14:solidFill>
          </w14:textFill>
        </w:rPr>
        <w:t>：</w:t>
      </w:r>
    </w:p>
    <w:p>
      <w:pPr>
        <w:spacing w:line="300" w:lineRule="auto"/>
        <w:ind w:left="-405" w:leftChars="-193"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承诺方系</w:t>
      </w:r>
      <w:r>
        <w:rPr>
          <w:rFonts w:hint="eastAsia" w:ascii="仿宋" w:hAnsi="仿宋" w:eastAsia="仿宋"/>
          <w:color w:val="000000" w:themeColor="text1"/>
          <w:sz w:val="32"/>
          <w:szCs w:val="32"/>
          <w:highlight w:val="none"/>
          <w:lang w:val="en-US" w:eastAsia="zh-CN"/>
          <w14:textFill>
            <w14:solidFill>
              <w14:schemeClr w14:val="tx1"/>
            </w14:solidFill>
          </w14:textFill>
        </w:rPr>
        <w:t>展服智慧（厦门）物业服务有限公司母公司</w:t>
      </w:r>
      <w:r>
        <w:rPr>
          <w:rFonts w:hint="eastAsia" w:ascii="仿宋" w:hAnsi="仿宋" w:eastAsia="仿宋"/>
          <w:color w:val="000000" w:themeColor="text1"/>
          <w:sz w:val="32"/>
          <w:szCs w:val="32"/>
          <w:highlight w:val="none"/>
          <w:u w:val="single"/>
          <w14:textFill>
            <w14:solidFill>
              <w14:schemeClr w14:val="tx1"/>
            </w14:solidFill>
          </w14:textFill>
        </w:rPr>
        <w:t>厦门国贸城市服务集团股份有限公司</w:t>
      </w:r>
      <w:r>
        <w:rPr>
          <w:rFonts w:hint="eastAsia" w:ascii="仿宋" w:hAnsi="仿宋" w:eastAsia="仿宋"/>
          <w:color w:val="000000" w:themeColor="text1"/>
          <w:sz w:val="32"/>
          <w:szCs w:val="32"/>
          <w:highlight w:val="none"/>
          <w14:textFill>
            <w14:solidFill>
              <w14:schemeClr w14:val="tx1"/>
            </w14:solidFill>
          </w14:textFill>
        </w:rPr>
        <w:t>（以下简称“</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）的供应商、服务商或合作商，在相关业务活动(包括但不限于交易洽谈、供货、服务、承揽、技术合作交流、付款)中接触</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相关人员和资讯，在廉洁义务和操守方面做出如下承诺：</w:t>
      </w:r>
    </w:p>
    <w:p>
      <w:pPr>
        <w:spacing w:line="300" w:lineRule="auto"/>
        <w:ind w:left="-405" w:leftChars="-193"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二、不向</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的工作人员及其亲属馈赠礼金、礼品（含有价证券）；不向</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的工作人员提供任何应由其个人支付报酬的劳务和其它服务；不为</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的工作人员安排可能影响公正执行公务的任何活动；不为</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的工作人员支付应由其个人支付的任何赞助费、宣传费、咨询费、劳务费等；不为</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工作人员报销任何名义的个人消费凭证。一经发现有上述行为，招标人有权取消中标资格。</w:t>
      </w:r>
    </w:p>
    <w:p>
      <w:pPr>
        <w:spacing w:line="300" w:lineRule="auto"/>
        <w:ind w:left="-405" w:leftChars="-193"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四、承诺方在与</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备案存档。</w:t>
      </w:r>
    </w:p>
    <w:p>
      <w:pPr>
        <w:spacing w:line="300" w:lineRule="auto"/>
        <w:ind w:left="-405" w:leftChars="-193"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五、承诺方禁止提供仿冒品（包括但不限于如贴牌、掺杂掺假，以次充好，以旧冒新、以不合格冒充合格）或不符合</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所需规格之商品提供</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使用。</w:t>
      </w:r>
    </w:p>
    <w:p>
      <w:pPr>
        <w:spacing w:line="300" w:lineRule="auto"/>
        <w:ind w:left="-405" w:leftChars="-193"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六、承诺方同意</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依其保密制度所划列的机密资料可包括一切关于</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，无论是否有价值，被公开或正在采取保密措施的书面、口头或以其他形式呈现、保存之资讯、承诺方与接受机密资料五年内均有保密义务，未经</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同意不得利用或向任何第三方泄露、交付。</w:t>
      </w:r>
    </w:p>
    <w:p>
      <w:pPr>
        <w:spacing w:line="300" w:lineRule="auto"/>
        <w:ind w:left="-405" w:leftChars="-193"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七、为净化采购相关秩序及环境，可至</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进行投诉或申报。</w:t>
      </w:r>
    </w:p>
    <w:p>
      <w:pPr>
        <w:spacing w:line="300" w:lineRule="auto"/>
        <w:ind w:left="-405" w:leftChars="-193"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八、违约责任</w:t>
      </w:r>
    </w:p>
    <w:p>
      <w:pPr>
        <w:spacing w:line="300" w:lineRule="auto"/>
        <w:ind w:left="-405" w:leftChars="-193"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承诺方承诺如违反本承诺书所述任何义务，无论是否给</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造成损失，承诺方将承担一切责任，并就</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实际造成的经济、名誉损失进行赔偿。</w:t>
      </w:r>
      <w:r>
        <w:rPr>
          <w:rFonts w:hint="eastAsia" w:ascii="仿宋" w:hAnsi="仿宋" w:eastAsia="仿宋"/>
          <w:color w:val="000000" w:themeColor="text1"/>
          <w:sz w:val="32"/>
          <w:szCs w:val="32"/>
          <w:highlight w:val="none"/>
          <w:u w:val="single"/>
          <w14:textFill>
            <w14:solidFill>
              <w14:schemeClr w14:val="tx1"/>
            </w14:solidFill>
          </w14:textFill>
        </w:rPr>
        <w:t>国贸服务</w:t>
      </w:r>
      <w:r>
        <w:rPr>
          <w:rFonts w:hint="eastAsia" w:ascii="仿宋" w:hAnsi="仿宋" w:eastAsia="仿宋"/>
          <w:color w:val="000000" w:themeColor="text1"/>
          <w:sz w:val="32"/>
          <w:szCs w:val="32"/>
          <w:highlight w:val="none"/>
          <w14:textFill>
            <w14:solidFill>
              <w14:schemeClr w14:val="tx1"/>
            </w14:solidFill>
          </w14:textFill>
        </w:rPr>
        <w:t>有权解除双方合同并不负任何违约责任，有权从应付承诺方账款中扣罚，并可采用法律手段索赔。</w:t>
      </w:r>
    </w:p>
    <w:p>
      <w:pPr>
        <w:spacing w:line="300" w:lineRule="auto"/>
        <w:ind w:left="-405" w:leftChars="-193"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九、自觉接受监督。</w:t>
      </w:r>
    </w:p>
    <w:p>
      <w:pPr>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特此承诺。</w:t>
      </w:r>
    </w:p>
    <w:p>
      <w:pPr>
        <w:spacing w:line="240" w:lineRule="atLeast"/>
        <w:ind w:left="-105" w:leftChars="-50"/>
        <w:jc w:val="center"/>
        <w:rPr>
          <w:rFonts w:ascii="仿宋" w:hAnsi="仿宋" w:eastAsia="仿宋"/>
          <w:color w:val="000000" w:themeColor="text1"/>
          <w:sz w:val="32"/>
          <w:szCs w:val="32"/>
          <w:highlight w:val="none"/>
          <w14:textFill>
            <w14:solidFill>
              <w14:schemeClr w14:val="tx1"/>
            </w14:solidFill>
          </w14:textFill>
        </w:rPr>
      </w:pPr>
    </w:p>
    <w:p>
      <w:pPr>
        <w:spacing w:line="240" w:lineRule="atLeast"/>
        <w:ind w:left="-105" w:leftChars="-50"/>
        <w:jc w:val="center"/>
        <w:rPr>
          <w:rFonts w:ascii="仿宋" w:hAnsi="仿宋" w:eastAsia="仿宋"/>
          <w:color w:val="000000" w:themeColor="text1"/>
          <w:sz w:val="32"/>
          <w:szCs w:val="32"/>
          <w:highlight w:val="none"/>
          <w14:textFill>
            <w14:solidFill>
              <w14:schemeClr w14:val="tx1"/>
            </w14:solidFill>
          </w14:textFill>
        </w:rPr>
      </w:pPr>
    </w:p>
    <w:p>
      <w:pPr>
        <w:spacing w:line="240" w:lineRule="atLeast"/>
        <w:ind w:left="-105" w:leftChars="-50"/>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承诺人（投标人）名称（盖章）：</w:t>
      </w:r>
    </w:p>
    <w:p>
      <w:pPr>
        <w:spacing w:line="240" w:lineRule="atLeast"/>
        <w:ind w:left="-105" w:leftChars="-50"/>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法定代表人（或投标人代表）：</w:t>
      </w:r>
    </w:p>
    <w:p>
      <w:pPr>
        <w:spacing w:line="240" w:lineRule="atLeast"/>
        <w:ind w:firstLine="3840" w:firstLineChars="1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日期：</w:t>
      </w:r>
    </w:p>
    <w:p>
      <w:pPr>
        <w:jc w:val="left"/>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br w:type="page"/>
      </w:r>
    </w:p>
    <w:p>
      <w:pPr>
        <w:jc w:val="left"/>
        <w:rPr>
          <w:rFonts w:hint="eastAsia" w:ascii="仿宋" w:hAnsi="仿宋" w:eastAsia="仿宋"/>
          <w:b/>
          <w:bCs/>
          <w:color w:val="000000" w:themeColor="text1"/>
          <w:sz w:val="32"/>
          <w:szCs w:val="32"/>
          <w:highlight w:val="none"/>
          <w:lang w:eastAsia="zh-CN"/>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8</w:t>
      </w: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作业安全承诺书</w:t>
      </w:r>
    </w:p>
    <w:p>
      <w:pPr>
        <w:jc w:val="center"/>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致：</w:t>
      </w:r>
      <w:r>
        <w:rPr>
          <w:rFonts w:hint="eastAsia" w:ascii="仿宋" w:hAnsi="仿宋" w:eastAsia="仿宋"/>
          <w:color w:val="000000" w:themeColor="text1"/>
          <w:sz w:val="32"/>
          <w:szCs w:val="32"/>
          <w:highlight w:val="none"/>
          <w:lang w:val="en-US" w:eastAsia="zh-CN"/>
          <w14:textFill>
            <w14:solidFill>
              <w14:schemeClr w14:val="tx1"/>
            </w14:solidFill>
          </w14:textFill>
        </w:rPr>
        <w:t>展服智慧（厦门）物业服务</w:t>
      </w:r>
      <w:r>
        <w:rPr>
          <w:rFonts w:hint="eastAsia" w:ascii="仿宋" w:hAnsi="仿宋" w:eastAsia="仿宋"/>
          <w:color w:val="000000" w:themeColor="text1"/>
          <w:sz w:val="32"/>
          <w:szCs w:val="32"/>
          <w:highlight w:val="none"/>
          <w14:textFill>
            <w14:solidFill>
              <w14:schemeClr w14:val="tx1"/>
            </w14:solidFill>
          </w14:textFill>
        </w:rPr>
        <w:t>有限公司</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eastAsia="仿宋"/>
          <w:color w:val="000000" w:themeColor="text1"/>
          <w:sz w:val="32"/>
          <w:szCs w:val="32"/>
          <w:highlight w:val="none"/>
          <w14:textFill>
            <w14:solidFill>
              <w14:schemeClr w14:val="tx1"/>
            </w14:solidFill>
          </w14:textFill>
        </w:rPr>
        <w:t>       </w:t>
      </w:r>
      <w:r>
        <w:rPr>
          <w:rFonts w:hint="eastAsia" w:ascii="仿宋" w:hAnsi="仿宋" w:eastAsia="仿宋"/>
          <w:color w:val="000000" w:themeColor="text1"/>
          <w:sz w:val="32"/>
          <w:szCs w:val="32"/>
          <w:highlight w:val="none"/>
          <w14:textFill>
            <w14:solidFill>
              <w14:schemeClr w14:val="tx1"/>
            </w14:solidFill>
          </w14:textFill>
        </w:rPr>
        <w:t xml:space="preserve"> 为贯彻“安全第一，预防为主，综合治理”方针，保证作业质量和安全生产，保持良好的工作秩序和作业场所的卫生环境，保护作业人员的安全和身体健康，防止伤亡事故的发生。加强对作业人员在贵司管辖范围内进行的外包项目作业安全管理（□建筑施工□装修作业□设施设备的安装□维修施工□设备保养□保洁作业□外墙清洗□水池清洗□化粪池清掏□消杀作业□绿化施工与养护</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其他</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展会水电气接驳服务</w:t>
      </w:r>
      <w:r>
        <w:rPr>
          <w:rFonts w:hint="eastAsia" w:ascii="仿宋" w:hAnsi="仿宋" w:eastAsia="仿宋"/>
          <w:color w:val="000000" w:themeColor="text1"/>
          <w:sz w:val="32"/>
          <w:szCs w:val="32"/>
          <w:highlight w:val="none"/>
          <w14:textFill>
            <w14:solidFill>
              <w14:schemeClr w14:val="tx1"/>
            </w14:solidFill>
          </w14:textFill>
        </w:rPr>
        <w:t>），我司承诺如下：</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一、加强对现场工作人员的安全教育，提高现场工作人员的安全意识和安全技术水平。</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二、作业携带的设备及用具，符合国家和企业安全规程要求，特种作业人员须持有效证件操作。</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三、在作业时设置醒目的警示标牌及安全标识，明确指定现场安全负责人，加强作业地点的文明卫生及安全管理，所有作业人员正确穿戴好防护用品，遵守贵司的各种规章制度、现场管理规定，做到安全、文明作业。</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四、在作业过程中，采取符合国家标准的安全防护措施，做到“三不伤害”（自己不伤害自己，自己不伤害他人，自己不被他人伤害），确保不出安全责任事故。在作业过程中发生的一切伤亡（包括由我司造成贵司人员、其他人员、行人伤亡）、火警、火灾、机械等事故，由我司负责事故上报、经济赔偿和善后处理。事故的损失和善后处理费用均由我司承担。</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五、我司对作业人员投保相关的安全责任险。</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六、我司认真执行国家、行业等相关作业的安全技术操作规程。作业时，与贵司项目负责人保持密切联系，如作业需要动用贵司水、电和其它设备设施或进行危险作业（拆除、吊装、危险搬运、登高作业、动火、临时用电、电气安装、切割焊接、绿化修剪、消杀作业等），必须与贵司办理相关手续后实施，接水、接电必须由贵司或贵司指定人员操作。未经贵司允许，我司不得擅自使用和移动贵司的设备设施，否则所发生的一切后果由我司承担。</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七、在高温、大风等不良气候条件下作业时，我司自备防高温、防风、防雨、防雷击等安全措施，确保安全作业。</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八、我司作业人员不得擅自进入业主的非作业区域，若因作业需要临时进入业主非作业区域，应向贵司专业负责人办理登记手续、取得业主同意后才可入内，进入人员须严格遵守业主各项规章制度。</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九、作业过程中，我司注意作业现场地下管线及高低压架空线路的保护。贵司项目对口负责人对地下管线和障碍物应详细交底，我司应遵守交底要求，如遇有情况，应及时向贵司和有关部门联系，采取保护措施。</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十、作业材料堆放整齐，垃圾及时处理，不影响贵司正常秩序及通信畅通。</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十一、贵司有权对我司作业现场安全进行指导及监督，对作业现场检查时提出的违章现象和不安全隐患，我司立即整改。如出现危及人身和设备安全的紧急情况，贵司有权对我司进行处罚或责令我司停止作业。</w:t>
      </w:r>
    </w:p>
    <w:p>
      <w:pPr>
        <w:spacing w:line="500" w:lineRule="exact"/>
        <w:ind w:firstLine="640" w:firstLineChars="200"/>
        <w:rPr>
          <w:color w:val="000000" w:themeColor="text1"/>
          <w:sz w:val="32"/>
          <w:szCs w:val="32"/>
          <w:highlight w:val="none"/>
          <w14:textFill>
            <w14:solidFill>
              <w14:schemeClr w14:val="tx1"/>
            </w14:solidFill>
          </w14:textFill>
        </w:rPr>
      </w:pPr>
    </w:p>
    <w:p>
      <w:pPr>
        <w:spacing w:line="500" w:lineRule="exact"/>
        <w:rPr>
          <w:rFonts w:ascii="宋体" w:hAnsi="宋体" w:cs="Lucida Sans Unicode"/>
          <w:color w:val="000000" w:themeColor="text1"/>
          <w:sz w:val="32"/>
          <w:szCs w:val="32"/>
          <w:highlight w:val="none"/>
          <w14:textFill>
            <w14:solidFill>
              <w14:schemeClr w14:val="tx1"/>
            </w14:solidFill>
          </w14:textFill>
        </w:rPr>
      </w:pPr>
    </w:p>
    <w:p>
      <w:pPr>
        <w:pStyle w:val="9"/>
        <w:spacing w:line="360" w:lineRule="auto"/>
        <w:ind w:firstLine="470" w:firstLineChars="147"/>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投标人（全称并加盖公章）：</w:t>
      </w:r>
    </w:p>
    <w:p>
      <w:pPr>
        <w:spacing w:line="500" w:lineRule="exact"/>
        <w:ind w:firstLine="320" w:firstLineChars="1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投标人代表签字： </w:t>
      </w:r>
    </w:p>
    <w:p>
      <w:pPr>
        <w:spacing w:line="500" w:lineRule="exact"/>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240" w:lineRule="auto"/>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br w:type="page"/>
      </w: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lang w:val="en-US" w:eastAsia="zh-CN"/>
          <w14:textFill>
            <w14:solidFill>
              <w14:schemeClr w14:val="tx1"/>
            </w14:solidFill>
          </w14:textFill>
        </w:rPr>
        <w:t>9</w:t>
      </w:r>
      <w:r>
        <w:rPr>
          <w:rFonts w:hint="eastAsia" w:ascii="仿宋" w:hAnsi="仿宋" w:eastAsia="仿宋"/>
          <w:b/>
          <w:bCs/>
          <w:color w:val="000000" w:themeColor="text1"/>
          <w:sz w:val="32"/>
          <w:szCs w:val="32"/>
          <w:highlight w:val="none"/>
          <w14:textFill>
            <w14:solidFill>
              <w14:schemeClr w14:val="tx1"/>
            </w14:solidFill>
          </w14:textFill>
        </w:rPr>
        <w:t xml:space="preserve">   </w:t>
      </w: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法定代表人授权书</w:t>
      </w:r>
      <w:r>
        <w:rPr>
          <w:rFonts w:hint="eastAsia" w:ascii="仿宋" w:hAnsi="仿宋" w:eastAsia="仿宋"/>
          <w:b/>
          <w:bCs/>
          <w:color w:val="000000" w:themeColor="text1"/>
          <w:sz w:val="32"/>
          <w:szCs w:val="32"/>
          <w:highlight w:val="none"/>
          <w14:textFill>
            <w14:solidFill>
              <w14:schemeClr w14:val="tx1"/>
            </w14:solidFill>
          </w14:textFill>
        </w:rPr>
        <w:cr/>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致展服智慧（厦门）物业服务有限公司</w:t>
      </w:r>
      <w:r>
        <w:rPr>
          <w:rFonts w:hint="eastAsia" w:ascii="仿宋" w:hAnsi="仿宋" w:eastAsia="仿宋"/>
          <w:color w:val="000000" w:themeColor="text1"/>
          <w:sz w:val="32"/>
          <w:szCs w:val="32"/>
          <w:highlight w:val="none"/>
          <w14:textFill>
            <w14:solidFill>
              <w14:schemeClr w14:val="tx1"/>
            </w14:solidFill>
          </w14:textFill>
        </w:rPr>
        <w:t>：</w:t>
      </w:r>
    </w:p>
    <w:p>
      <w:pPr>
        <w:pStyle w:val="9"/>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u w:val="single"/>
          <w14:textFill>
            <w14:solidFill>
              <w14:schemeClr w14:val="tx1"/>
            </w14:solidFill>
          </w14:textFill>
        </w:rPr>
        <w:t>（投标人全称）</w:t>
      </w:r>
      <w:r>
        <w:rPr>
          <w:rFonts w:hint="eastAsia" w:ascii="仿宋" w:hAnsi="仿宋" w:eastAsia="仿宋"/>
          <w:color w:val="000000" w:themeColor="text1"/>
          <w:sz w:val="32"/>
          <w:szCs w:val="32"/>
          <w:highlight w:val="none"/>
          <w14:textFill>
            <w14:solidFill>
              <w14:schemeClr w14:val="tx1"/>
            </w14:solidFill>
          </w14:textFill>
        </w:rPr>
        <w:t>法定代表人 授权</w:t>
      </w:r>
      <w:r>
        <w:rPr>
          <w:rFonts w:hint="eastAsia" w:ascii="仿宋" w:hAnsi="仿宋" w:eastAsia="仿宋"/>
          <w:color w:val="000000" w:themeColor="text1"/>
          <w:sz w:val="32"/>
          <w:szCs w:val="32"/>
          <w:highlight w:val="none"/>
          <w:u w:val="single"/>
          <w14:textFill>
            <w14:solidFill>
              <w14:schemeClr w14:val="tx1"/>
            </w14:solidFill>
          </w14:textFill>
        </w:rPr>
        <w:t xml:space="preserve">  （投标人代表姓名）</w:t>
      </w:r>
      <w:r>
        <w:rPr>
          <w:rFonts w:hint="eastAsia" w:ascii="仿宋" w:hAnsi="仿宋" w:eastAsia="仿宋"/>
          <w:color w:val="000000" w:themeColor="text1"/>
          <w:sz w:val="32"/>
          <w:szCs w:val="32"/>
          <w:highlight w:val="none"/>
          <w14:textFill>
            <w14:solidFill>
              <w14:schemeClr w14:val="tx1"/>
            </w14:solidFill>
          </w14:textFill>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本授权书自出具之日起生效。</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投标人代表：性别：身份证号：</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单位：部门：  职务：</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详细通讯地址：邮政编码</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 xml:space="preserve"> 电话：</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附：被授权人身份证件</w:t>
      </w:r>
    </w:p>
    <w:p>
      <w:pPr>
        <w:spacing w:line="500" w:lineRule="exact"/>
        <w:ind w:firstLine="5120" w:firstLineChars="16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授权方</w:t>
      </w:r>
    </w:p>
    <w:p>
      <w:pPr>
        <w:spacing w:line="5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 xml:space="preserve">                                投标人：</w:t>
      </w:r>
      <w:r>
        <w:rPr>
          <w:rFonts w:hint="eastAsia" w:ascii="仿宋" w:hAnsi="仿宋" w:eastAsia="仿宋"/>
          <w:color w:val="000000" w:themeColor="text1"/>
          <w:sz w:val="32"/>
          <w:szCs w:val="32"/>
          <w:highlight w:val="none"/>
          <w:u w:val="single"/>
          <w14:textFill>
            <w14:solidFill>
              <w14:schemeClr w14:val="tx1"/>
            </w14:solidFill>
          </w14:textFill>
        </w:rPr>
        <w:t>（全称并加盖公章）</w:t>
      </w:r>
      <w:r>
        <w:rPr>
          <w:rFonts w:hint="eastAsia" w:ascii="仿宋" w:hAnsi="仿宋" w:eastAsia="仿宋"/>
          <w:color w:val="000000" w:themeColor="text1"/>
          <w:sz w:val="32"/>
          <w:szCs w:val="32"/>
          <w:highlight w:val="none"/>
          <w14:textFill>
            <w14:solidFill>
              <w14:schemeClr w14:val="tx1"/>
            </w14:solidFill>
          </w14:textFill>
        </w:rPr>
        <w:t>：</w:t>
      </w:r>
    </w:p>
    <w:p>
      <w:pPr>
        <w:spacing w:line="500" w:lineRule="exact"/>
        <w:ind w:firstLine="5120" w:firstLineChars="16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法定代表人签字：</w:t>
      </w:r>
    </w:p>
    <w:p>
      <w:pPr>
        <w:spacing w:line="500" w:lineRule="exact"/>
        <w:ind w:firstLine="5120" w:firstLineChars="16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ind w:firstLine="5120" w:firstLineChars="16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接受授权方</w:t>
      </w:r>
    </w:p>
    <w:p>
      <w:pPr>
        <w:spacing w:line="500" w:lineRule="exact"/>
        <w:ind w:firstLine="5120" w:firstLineChars="16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pPr>
        <w:spacing w:line="500" w:lineRule="exact"/>
        <w:ind w:firstLine="5120" w:firstLineChars="16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500" w:lineRule="exact"/>
        <w:ind w:firstLine="6400" w:firstLineChars="2000"/>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b/>
          <w:bCs/>
          <w:color w:val="000000" w:themeColor="text1"/>
          <w:sz w:val="32"/>
          <w:szCs w:val="32"/>
          <w:highlight w:val="none"/>
          <w14:textFill>
            <w14:solidFill>
              <w14:schemeClr w14:val="tx1"/>
            </w14:solidFill>
          </w14:textFill>
        </w:rPr>
      </w:pPr>
    </w:p>
    <w:p>
      <w:pPr>
        <w:rPr>
          <w:rFonts w:ascii="仿宋" w:hAnsi="仿宋" w:eastAsia="仿宋"/>
          <w:b/>
          <w:bCs/>
          <w:color w:val="000000" w:themeColor="text1"/>
          <w:sz w:val="32"/>
          <w:szCs w:val="32"/>
          <w:highlight w:val="none"/>
          <w14:textFill>
            <w14:solidFill>
              <w14:schemeClr w14:val="tx1"/>
            </w14:solidFill>
          </w14:textFill>
        </w:rPr>
      </w:pPr>
      <w:r>
        <w:rPr>
          <w:rFonts w:ascii="仿宋" w:hAnsi="仿宋" w:eastAsia="仿宋"/>
          <w:b/>
          <w:bCs/>
          <w:color w:val="000000" w:themeColor="text1"/>
          <w:sz w:val="32"/>
          <w:szCs w:val="32"/>
          <w:highlight w:val="none"/>
          <w14:textFill>
            <w14:solidFill>
              <w14:schemeClr w14:val="tx1"/>
            </w14:solidFill>
          </w14:textFill>
        </w:rPr>
        <w:br w:type="page"/>
      </w: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ascii="仿宋" w:hAnsi="仿宋" w:eastAsia="仿宋"/>
          <w:b/>
          <w:bCs/>
          <w:color w:val="000000" w:themeColor="text1"/>
          <w:sz w:val="32"/>
          <w:szCs w:val="32"/>
          <w:highlight w:val="none"/>
          <w14:textFill>
            <w14:solidFill>
              <w14:schemeClr w14:val="tx1"/>
            </w14:solidFill>
          </w14:textFill>
        </w:rPr>
        <w:t>格式</w:t>
      </w:r>
      <w:r>
        <w:rPr>
          <w:rFonts w:hint="eastAsia" w:ascii="仿宋" w:hAnsi="仿宋" w:eastAsia="仿宋"/>
          <w:b/>
          <w:bCs/>
          <w:color w:val="000000" w:themeColor="text1"/>
          <w:sz w:val="32"/>
          <w:szCs w:val="32"/>
          <w:highlight w:val="none"/>
          <w14:textFill>
            <w14:solidFill>
              <w14:schemeClr w14:val="tx1"/>
            </w14:solidFill>
          </w14:textFill>
        </w:rPr>
        <w:t>10</w:t>
      </w:r>
    </w:p>
    <w:p>
      <w:pPr>
        <w:spacing w:line="500" w:lineRule="exact"/>
        <w:jc w:val="center"/>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投标人提交的其它资料</w:t>
      </w:r>
    </w:p>
    <w:p>
      <w:pPr>
        <w:spacing w:line="500" w:lineRule="exact"/>
        <w:rPr>
          <w:rFonts w:ascii="仿宋" w:hAnsi="仿宋" w:eastAsia="仿宋"/>
          <w:b/>
          <w:color w:val="000000" w:themeColor="text1"/>
          <w:sz w:val="32"/>
          <w:szCs w:val="32"/>
          <w:highlight w:val="none"/>
          <w14:textFill>
            <w14:solidFill>
              <w14:schemeClr w14:val="tx1"/>
            </w14:solidFill>
          </w14:textFill>
        </w:rPr>
      </w:pPr>
    </w:p>
    <w:p>
      <w:pPr>
        <w:spacing w:line="500" w:lineRule="exact"/>
        <w:ind w:firstLine="640" w:firstLineChars="200"/>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（投标人认为应提交的其他材料, 可在此附件中提交）</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ind w:firstLine="5600" w:firstLineChars="175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投标人全称(加盖公章)：</w:t>
      </w:r>
    </w:p>
    <w:p>
      <w:pPr>
        <w:spacing w:line="500" w:lineRule="exact"/>
        <w:ind w:firstLine="5600" w:firstLineChars="175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投标人代表签字：</w:t>
      </w:r>
    </w:p>
    <w:p>
      <w:pPr>
        <w:spacing w:line="500" w:lineRule="exact"/>
        <w:ind w:firstLine="5760" w:firstLineChars="18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日          期：</w:t>
      </w:r>
    </w:p>
    <w:p>
      <w:pPr>
        <w:spacing w:line="240" w:lineRule="auto"/>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br w:type="page"/>
      </w:r>
    </w:p>
    <w:p>
      <w:pPr>
        <w:spacing w:line="500" w:lineRule="exact"/>
        <w:rPr>
          <w:rFonts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t>格式11 投标人密封条</w:t>
      </w:r>
    </w:p>
    <w:p>
      <w:pPr>
        <w:spacing w:line="500" w:lineRule="exact"/>
        <w:rPr>
          <w:rFonts w:ascii="仿宋" w:hAnsi="仿宋" w:eastAsia="仿宋"/>
          <w:color w:val="000000" w:themeColor="text1"/>
          <w:sz w:val="32"/>
          <w:szCs w:val="32"/>
          <w:highlight w:val="none"/>
          <w14:textFill>
            <w14:solidFill>
              <w14:schemeClr w14:val="tx1"/>
            </w14:solidFill>
          </w14:textFill>
        </w:rPr>
      </w:pPr>
    </w:p>
    <w:p>
      <w:pPr>
        <w:spacing w:line="500" w:lineRule="exact"/>
        <w:rPr>
          <w:rFonts w:ascii="仿宋" w:hAnsi="仿宋" w:eastAsia="仿宋" w:cs="Arial"/>
          <w:color w:val="000000" w:themeColor="text1"/>
          <w:sz w:val="32"/>
          <w:szCs w:val="32"/>
          <w:highlight w:val="none"/>
          <w14:textFill>
            <w14:solidFill>
              <w14:schemeClr w14:val="tx1"/>
            </w14:solidFill>
          </w14:textFill>
        </w:rPr>
      </w:pPr>
      <w:r>
        <w:rPr>
          <w:rFonts w:hint="eastAsia" w:ascii="仿宋" w:hAnsi="仿宋" w:eastAsia="仿宋" w:cs="Arial"/>
          <w:color w:val="000000" w:themeColor="text1"/>
          <w:sz w:val="32"/>
          <w:szCs w:val="32"/>
          <w:highlight w:val="none"/>
          <w14:textFill>
            <w14:solidFill>
              <w14:schemeClr w14:val="tx1"/>
            </w14:solidFill>
          </w14:textFill>
        </w:rPr>
        <w:t>--------------------------------------------------------</w:t>
      </w:r>
    </w:p>
    <w:p>
      <w:pPr>
        <w:spacing w:line="500" w:lineRule="exact"/>
        <w:rPr>
          <w:rFonts w:ascii="仿宋" w:hAnsi="仿宋" w:eastAsia="仿宋" w:cs="Arial"/>
          <w:b/>
          <w:color w:val="000000" w:themeColor="text1"/>
          <w:sz w:val="32"/>
          <w:szCs w:val="32"/>
          <w:highlight w:val="none"/>
          <w14:textFill>
            <w14:solidFill>
              <w14:schemeClr w14:val="tx1"/>
            </w14:solidFill>
          </w14:textFill>
        </w:rPr>
      </w:pPr>
      <w:r>
        <w:rPr>
          <w:rFonts w:hint="eastAsia" w:ascii="仿宋" w:hAnsi="仿宋" w:eastAsia="仿宋" w:cs="Arial"/>
          <w:b/>
          <w:color w:val="000000" w:themeColor="text1"/>
          <w:sz w:val="32"/>
          <w:szCs w:val="32"/>
          <w:highlight w:val="none"/>
          <w14:textFill>
            <w14:solidFill>
              <w14:schemeClr w14:val="tx1"/>
            </w14:solidFill>
          </w14:textFill>
        </w:rPr>
        <w:t xml:space="preserve">    密    封    条</w:t>
      </w:r>
    </w:p>
    <w:tbl>
      <w:tblPr>
        <w:tblStyle w:val="1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送   呈</w:t>
            </w:r>
          </w:p>
        </w:tc>
        <w:tc>
          <w:tcPr>
            <w:tcW w:w="7230" w:type="dxa"/>
            <w:gridSpan w:val="4"/>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lang w:val="en-US" w:eastAsia="zh-CN"/>
                <w14:textFill>
                  <w14:solidFill>
                    <w14:schemeClr w14:val="tx1"/>
                  </w14:solidFill>
                </w14:textFill>
              </w:rPr>
              <w:t>展服智慧（厦门）物业服务</w:t>
            </w:r>
            <w:r>
              <w:rPr>
                <w:rFonts w:hint="eastAsia" w:ascii="仿宋" w:hAnsi="仿宋" w:eastAsia="仿宋" w:cs="Arial"/>
                <w:color w:val="000000" w:themeColor="text1"/>
                <w:kern w:val="0"/>
                <w:sz w:val="32"/>
                <w:szCs w:val="32"/>
                <w:highlight w:val="none"/>
                <w14:textFill>
                  <w14:solidFill>
                    <w14:schemeClr w14:val="tx1"/>
                  </w14:solidFill>
                </w14:textFill>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项目名称</w:t>
            </w:r>
          </w:p>
        </w:tc>
        <w:tc>
          <w:tcPr>
            <w:tcW w:w="3544" w:type="dxa"/>
            <w:gridSpan w:val="2"/>
            <w:vAlign w:val="center"/>
          </w:tcPr>
          <w:p>
            <w:pPr>
              <w:spacing w:line="500" w:lineRule="exact"/>
              <w:rPr>
                <w:rFonts w:ascii="仿宋" w:hAnsi="仿宋" w:eastAsia="仿宋" w:cs="仿宋"/>
                <w:bCs/>
                <w:color w:val="000000" w:themeColor="text1"/>
                <w:sz w:val="30"/>
                <w:szCs w:val="30"/>
                <w:highlight w:val="none"/>
                <w:lang w:val="zh-CN"/>
                <w14:textFill>
                  <w14:solidFill>
                    <w14:schemeClr w14:val="tx1"/>
                  </w14:solidFill>
                </w14:textFill>
              </w:rPr>
            </w:pPr>
            <w:r>
              <w:rPr>
                <w:rFonts w:hint="eastAsia" w:ascii="仿宋" w:hAnsi="仿宋" w:eastAsia="仿宋" w:cs="仿宋"/>
                <w:bCs/>
                <w:color w:val="000000" w:themeColor="text1"/>
                <w:sz w:val="30"/>
                <w:szCs w:val="30"/>
                <w:highlight w:val="none"/>
                <w:lang w:val="en-US" w:eastAsia="zh-CN"/>
                <w14:textFill>
                  <w14:solidFill>
                    <w14:schemeClr w14:val="tx1"/>
                  </w14:solidFill>
                </w14:textFill>
              </w:rPr>
              <w:t>2024年药机展水电气接驳服务</w:t>
            </w:r>
            <w:r>
              <w:rPr>
                <w:rFonts w:hint="eastAsia" w:ascii="仿宋" w:hAnsi="仿宋" w:eastAsia="仿宋" w:cs="仿宋"/>
                <w:bCs/>
                <w:color w:val="000000" w:themeColor="text1"/>
                <w:sz w:val="30"/>
                <w:szCs w:val="30"/>
                <w:highlight w:val="none"/>
                <w:lang w:val="zh-CN"/>
                <w14:textFill>
                  <w14:solidFill>
                    <w14:schemeClr w14:val="tx1"/>
                  </w14:solidFill>
                </w14:textFill>
              </w:rPr>
              <w:t>项目</w:t>
            </w:r>
          </w:p>
        </w:tc>
        <w:tc>
          <w:tcPr>
            <w:tcW w:w="1486" w:type="dxa"/>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招标编号</w:t>
            </w:r>
          </w:p>
        </w:tc>
        <w:tc>
          <w:tcPr>
            <w:tcW w:w="2200" w:type="dxa"/>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截标日期</w:t>
            </w:r>
          </w:p>
        </w:tc>
        <w:tc>
          <w:tcPr>
            <w:tcW w:w="7230" w:type="dxa"/>
            <w:gridSpan w:val="4"/>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报价单位名称（加盖密封章或公章）</w:t>
            </w:r>
          </w:p>
        </w:tc>
        <w:tc>
          <w:tcPr>
            <w:tcW w:w="5925" w:type="dxa"/>
            <w:gridSpan w:val="3"/>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p>
        </w:tc>
      </w:tr>
    </w:tbl>
    <w:p>
      <w:pPr>
        <w:spacing w:line="500" w:lineRule="exact"/>
        <w:rPr>
          <w:rFonts w:ascii="仿宋" w:hAnsi="仿宋" w:eastAsia="仿宋"/>
          <w:b/>
          <w:color w:val="000000" w:themeColor="text1"/>
          <w:sz w:val="32"/>
          <w:szCs w:val="32"/>
          <w:highlight w:val="none"/>
          <w14:textFill>
            <w14:solidFill>
              <w14:schemeClr w14:val="tx1"/>
            </w14:solidFill>
          </w14:textFill>
        </w:rPr>
      </w:pPr>
    </w:p>
    <w:p>
      <w:pPr>
        <w:spacing w:line="500" w:lineRule="exact"/>
        <w:rPr>
          <w:rFonts w:ascii="仿宋" w:hAnsi="仿宋" w:eastAsia="仿宋" w:cs="Arial"/>
          <w:color w:val="000000" w:themeColor="text1"/>
          <w:sz w:val="32"/>
          <w:szCs w:val="32"/>
          <w:highlight w:val="none"/>
          <w14:textFill>
            <w14:solidFill>
              <w14:schemeClr w14:val="tx1"/>
            </w14:solidFill>
          </w14:textFill>
        </w:rPr>
      </w:pPr>
      <w:r>
        <w:rPr>
          <w:rFonts w:hint="eastAsia" w:ascii="仿宋" w:hAnsi="仿宋" w:eastAsia="仿宋" w:cs="Arial"/>
          <w:color w:val="000000" w:themeColor="text1"/>
          <w:sz w:val="32"/>
          <w:szCs w:val="32"/>
          <w:highlight w:val="none"/>
          <w14:textFill>
            <w14:solidFill>
              <w14:schemeClr w14:val="tx1"/>
            </w14:solidFill>
          </w14:textFill>
        </w:rPr>
        <w:t>--------------------------------------------------------</w:t>
      </w:r>
    </w:p>
    <w:p>
      <w:pPr>
        <w:spacing w:line="500" w:lineRule="exact"/>
        <w:rPr>
          <w:rFonts w:ascii="仿宋" w:hAnsi="仿宋" w:eastAsia="仿宋"/>
          <w:color w:val="000000" w:themeColor="text1"/>
          <w:sz w:val="32"/>
          <w:szCs w:val="32"/>
          <w:highlight w:val="none"/>
          <w14:textFill>
            <w14:solidFill>
              <w14:schemeClr w14:val="tx1"/>
            </w14:solidFill>
          </w14:textFill>
        </w:rPr>
      </w:pPr>
    </w:p>
    <w:bookmarkEnd w:id="5"/>
    <w:bookmarkEnd w:id="6"/>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snapToGrid w:val="0"/>
        <w:spacing w:line="500" w:lineRule="exact"/>
        <w:ind w:left="794" w:leftChars="378" w:firstLine="321" w:firstLineChars="100"/>
        <w:rPr>
          <w:rFonts w:ascii="仿宋" w:hAnsi="仿宋" w:eastAsia="仿宋"/>
          <w:b/>
          <w:color w:val="000000" w:themeColor="text1"/>
          <w:sz w:val="32"/>
          <w:szCs w:val="32"/>
          <w:highlight w:val="none"/>
          <w:u w:val="single"/>
          <w14:textFill>
            <w14:solidFill>
              <w14:schemeClr w14:val="tx1"/>
            </w14:solidFill>
          </w14:textFill>
        </w:rPr>
      </w:pPr>
    </w:p>
    <w:p>
      <w:pPr>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14:textFill>
            <w14:solidFill>
              <w14:schemeClr w14:val="tx1"/>
            </w14:solidFill>
          </w14:textFill>
        </w:rPr>
        <w:br w:type="page"/>
      </w:r>
    </w:p>
    <w:p>
      <w:pPr>
        <w:spacing w:line="500" w:lineRule="exact"/>
        <w:rPr>
          <w:rFonts w:hint="eastAsia" w:ascii="仿宋" w:hAnsi="仿宋" w:eastAsia="仿宋"/>
          <w:b/>
          <w:bCs/>
          <w:color w:val="000000" w:themeColor="text1"/>
          <w:sz w:val="32"/>
          <w:szCs w:val="32"/>
          <w:highlight w:val="none"/>
          <w14:textFill>
            <w14:solidFill>
              <w14:schemeClr w14:val="tx1"/>
            </w14:solidFill>
          </w14:textFill>
        </w:rPr>
      </w:pPr>
      <w:r>
        <w:rPr>
          <w:rFonts w:hint="eastAsia" w:ascii="仿宋" w:hAnsi="仿宋" w:eastAsia="仿宋"/>
          <w:b/>
          <w:bCs/>
          <w:color w:val="000000" w:themeColor="text1"/>
          <w:sz w:val="32"/>
          <w:szCs w:val="32"/>
          <w:highlight w:val="none"/>
          <w:lang w:val="en-US" w:eastAsia="zh-CN"/>
          <w14:textFill>
            <w14:solidFill>
              <w14:schemeClr w14:val="tx1"/>
            </w14:solidFill>
          </w14:textFill>
        </w:rPr>
        <w:t>附件1：</w:t>
      </w:r>
      <w:r>
        <w:rPr>
          <w:rFonts w:hint="eastAsia" w:ascii="仿宋" w:hAnsi="仿宋" w:eastAsia="仿宋"/>
          <w:b/>
          <w:bCs/>
          <w:color w:val="000000" w:themeColor="text1"/>
          <w:sz w:val="32"/>
          <w:szCs w:val="32"/>
          <w:highlight w:val="none"/>
          <w14:textFill>
            <w14:solidFill>
              <w14:schemeClr w14:val="tx1"/>
            </w14:solidFill>
          </w14:textFill>
        </w:rPr>
        <w:t xml:space="preserve"> </w:t>
      </w:r>
    </w:p>
    <w:p>
      <w:pPr>
        <w:spacing w:line="500" w:lineRule="exact"/>
        <w:rPr>
          <w:rFonts w:hint="default" w:ascii="仿宋" w:hAnsi="仿宋" w:eastAsia="仿宋"/>
          <w:b/>
          <w:bCs/>
          <w:color w:val="000000" w:themeColor="text1"/>
          <w:sz w:val="32"/>
          <w:szCs w:val="32"/>
          <w:highlight w:val="none"/>
          <w:lang w:val="en-US" w:eastAsia="zh-CN"/>
          <w14:textFill>
            <w14:solidFill>
              <w14:schemeClr w14:val="tx1"/>
            </w14:solidFill>
          </w14:textFill>
        </w:rPr>
      </w:pPr>
      <w:r>
        <w:rPr>
          <w:rFonts w:hint="eastAsia" w:ascii="仿宋" w:hAnsi="仿宋" w:eastAsia="仿宋"/>
          <w:b/>
          <w:bCs/>
          <w:color w:val="000000" w:themeColor="text1"/>
          <w:sz w:val="32"/>
          <w:szCs w:val="32"/>
          <w:highlight w:val="none"/>
          <w:lang w:val="en-US" w:eastAsia="zh-CN"/>
          <w14:textFill>
            <w14:solidFill>
              <w14:schemeClr w14:val="tx1"/>
            </w14:solidFill>
          </w14:textFill>
        </w:rPr>
        <w:t>水电气接驳服务协议书范例（供参考）</w:t>
      </w:r>
    </w:p>
    <w:p>
      <w:pPr>
        <w:spacing w:line="50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甲方</w:t>
      </w:r>
      <w:r>
        <w:rPr>
          <w:rFonts w:hint="eastAsia"/>
          <w:b/>
          <w:color w:val="000000" w:themeColor="text1"/>
          <w:sz w:val="24"/>
          <w:highlight w:val="none"/>
          <w14:textFill>
            <w14:solidFill>
              <w14:schemeClr w14:val="tx1"/>
            </w14:solidFill>
          </w14:textFill>
        </w:rPr>
        <w:t>（</w:t>
      </w:r>
      <w:r>
        <w:rPr>
          <w:rFonts w:hint="eastAsia"/>
          <w:b/>
          <w:color w:val="000000" w:themeColor="text1"/>
          <w:sz w:val="24"/>
          <w:highlight w:val="none"/>
          <w:lang w:eastAsia="zh-CN"/>
          <w14:textFill>
            <w14:solidFill>
              <w14:schemeClr w14:val="tx1"/>
            </w14:solidFill>
          </w14:textFill>
        </w:rPr>
        <w:t>委托</w:t>
      </w:r>
      <w:r>
        <w:rPr>
          <w:rFonts w:hint="eastAsia"/>
          <w:b/>
          <w:color w:val="000000" w:themeColor="text1"/>
          <w:sz w:val="24"/>
          <w:highlight w:val="none"/>
          <w:lang w:val="en-US" w:eastAsia="zh-CN"/>
          <w14:textFill>
            <w14:solidFill>
              <w14:schemeClr w14:val="tx1"/>
            </w14:solidFill>
          </w14:textFill>
        </w:rPr>
        <w:t>方</w:t>
      </w: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w:t>
      </w:r>
      <w:r>
        <w:rPr>
          <w:rFonts w:hint="eastAsia"/>
          <w:b/>
          <w:color w:val="000000" w:themeColor="text1"/>
          <w:sz w:val="24"/>
          <w:highlight w:val="none"/>
          <w:u w:val="single"/>
          <w14:textFill>
            <w14:solidFill>
              <w14:schemeClr w14:val="tx1"/>
            </w14:solidFill>
          </w14:textFill>
        </w:rPr>
        <w:t xml:space="preserve">展服智慧（厦门）物业服务有限公司 </w:t>
      </w:r>
    </w:p>
    <w:p>
      <w:pPr>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乙方</w:t>
      </w:r>
      <w:r>
        <w:rPr>
          <w:rFonts w:hint="eastAsia"/>
          <w:b/>
          <w:color w:val="000000" w:themeColor="text1"/>
          <w:sz w:val="24"/>
          <w:highlight w:val="none"/>
          <w14:textFill>
            <w14:solidFill>
              <w14:schemeClr w14:val="tx1"/>
            </w14:solidFill>
          </w14:textFill>
        </w:rPr>
        <w:t>（</w:t>
      </w:r>
      <w:r>
        <w:rPr>
          <w:rFonts w:hint="eastAsia"/>
          <w:b/>
          <w:color w:val="000000" w:themeColor="text1"/>
          <w:sz w:val="24"/>
          <w:highlight w:val="none"/>
          <w:lang w:val="en-US" w:eastAsia="zh-CN"/>
          <w14:textFill>
            <w14:solidFill>
              <w14:schemeClr w14:val="tx1"/>
            </w14:solidFill>
          </w14:textFill>
        </w:rPr>
        <w:t>承接方</w:t>
      </w: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w:t>
      </w:r>
      <w:r>
        <w:rPr>
          <w:rFonts w:hint="eastAsia"/>
          <w:b/>
          <w:color w:val="000000" w:themeColor="text1"/>
          <w:sz w:val="24"/>
          <w:highlight w:val="none"/>
          <w:u w:val="single"/>
          <w14:textFill>
            <w14:solidFill>
              <w14:schemeClr w14:val="tx1"/>
            </w14:solidFill>
          </w14:textFill>
        </w:rPr>
        <w:t xml:space="preserve"> </w:t>
      </w:r>
      <w:r>
        <w:rPr>
          <w:rFonts w:hint="eastAsia"/>
          <w:b/>
          <w:color w:val="000000" w:themeColor="text1"/>
          <w:sz w:val="24"/>
          <w:highlight w:val="none"/>
          <w:u w:val="single"/>
          <w:lang w:val="en-US" w:eastAsia="zh-CN"/>
          <w14:textFill>
            <w14:solidFill>
              <w14:schemeClr w14:val="tx1"/>
            </w14:solidFill>
          </w14:textFill>
        </w:rPr>
        <w:t xml:space="preserve">             </w:t>
      </w:r>
      <w:r>
        <w:rPr>
          <w:rFonts w:hint="eastAsia"/>
          <w:b/>
          <w:color w:val="000000" w:themeColor="text1"/>
          <w:sz w:val="24"/>
          <w:highlight w:val="none"/>
          <w:u w:val="single"/>
          <w14:textFill>
            <w14:solidFill>
              <w14:schemeClr w14:val="tx1"/>
            </w14:solidFill>
          </w14:textFill>
        </w:rPr>
        <w:t xml:space="preserve">                   </w:t>
      </w:r>
    </w:p>
    <w:p>
      <w:pPr>
        <w:spacing w:line="360" w:lineRule="auto"/>
        <w:ind w:firstLine="482" w:firstLineChars="200"/>
        <w:rPr>
          <w:b/>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w:t>
      </w:r>
      <w:r>
        <w:rPr>
          <w:rFonts w:ascii="宋体" w:hAnsi="宋体"/>
          <w:color w:val="000000" w:themeColor="text1"/>
          <w:sz w:val="24"/>
          <w:highlight w:val="none"/>
          <w14:textFill>
            <w14:solidFill>
              <w14:schemeClr w14:val="tx1"/>
            </w14:solidFill>
          </w14:textFill>
        </w:rPr>
        <w:t>据《</w:t>
      </w:r>
      <w:r>
        <w:rPr>
          <w:rFonts w:hint="eastAsia" w:ascii="宋体" w:hAnsi="宋体"/>
          <w:color w:val="000000" w:themeColor="text1"/>
          <w:sz w:val="24"/>
          <w:highlight w:val="none"/>
          <w14:textFill>
            <w14:solidFill>
              <w14:schemeClr w14:val="tx1"/>
            </w14:solidFill>
          </w14:textFill>
        </w:rPr>
        <w:t>中华人民共和国民法典</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等法律法规</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lang w:val="en-US" w:eastAsia="zh-CN"/>
          <w14:textFill>
            <w14:solidFill>
              <w14:schemeClr w14:val="tx1"/>
            </w14:solidFill>
          </w14:textFill>
        </w:rPr>
        <w:t>相关</w:t>
      </w:r>
      <w:r>
        <w:rPr>
          <w:rFonts w:ascii="宋体" w:hAnsi="宋体"/>
          <w:color w:val="000000" w:themeColor="text1"/>
          <w:sz w:val="24"/>
          <w:highlight w:val="none"/>
          <w14:textFill>
            <w14:solidFill>
              <w14:schemeClr w14:val="tx1"/>
            </w14:solidFill>
          </w14:textFill>
        </w:rPr>
        <w:t>要求</w:t>
      </w:r>
      <w:r>
        <w:rPr>
          <w:color w:val="000000" w:themeColor="text1"/>
          <w:sz w:val="24"/>
          <w:highlight w:val="none"/>
          <w14:textFill>
            <w14:solidFill>
              <w14:schemeClr w14:val="tx1"/>
            </w14:solidFill>
          </w14:textFill>
        </w:rPr>
        <w:t>，</w:t>
      </w:r>
      <w:r>
        <w:rPr>
          <w:color w:val="000000" w:themeColor="text1"/>
          <w:kern w:val="28"/>
          <w:sz w:val="24"/>
          <w:highlight w:val="none"/>
          <w14:textFill>
            <w14:solidFill>
              <w14:schemeClr w14:val="tx1"/>
            </w14:solidFill>
          </w14:textFill>
        </w:rPr>
        <w:t>经双方协商，</w:t>
      </w:r>
      <w:r>
        <w:rPr>
          <w:color w:val="000000" w:themeColor="text1"/>
          <w:sz w:val="24"/>
          <w:highlight w:val="none"/>
          <w14:textFill>
            <w14:solidFill>
              <w14:schemeClr w14:val="tx1"/>
            </w14:solidFill>
          </w14:textFill>
        </w:rPr>
        <w:t>本着平等互利和诚实信用的原则，</w:t>
      </w:r>
      <w:r>
        <w:rPr>
          <w:color w:val="000000" w:themeColor="text1"/>
          <w:kern w:val="28"/>
          <w:sz w:val="24"/>
          <w:highlight w:val="none"/>
          <w14:textFill>
            <w14:solidFill>
              <w14:schemeClr w14:val="tx1"/>
            </w14:solidFill>
          </w14:textFill>
        </w:rPr>
        <w:t>一致同意签订本</w:t>
      </w:r>
      <w:r>
        <w:rPr>
          <w:rFonts w:hint="eastAsia"/>
          <w:color w:val="000000" w:themeColor="text1"/>
          <w:kern w:val="28"/>
          <w:sz w:val="24"/>
          <w:highlight w:val="none"/>
          <w14:textFill>
            <w14:solidFill>
              <w14:schemeClr w14:val="tx1"/>
            </w14:solidFill>
          </w14:textFill>
        </w:rPr>
        <w:t>合同</w:t>
      </w:r>
      <w:r>
        <w:rPr>
          <w:rFonts w:hint="eastAsia"/>
          <w:color w:val="000000" w:themeColor="text1"/>
          <w:kern w:val="28"/>
          <w:sz w:val="24"/>
          <w:highlight w:val="none"/>
          <w:lang w:eastAsia="zh-CN"/>
          <w14:textFill>
            <w14:solidFill>
              <w14:schemeClr w14:val="tx1"/>
            </w14:solidFill>
          </w14:textFill>
        </w:rPr>
        <w:t>，</w:t>
      </w:r>
      <w:r>
        <w:rPr>
          <w:rFonts w:hint="eastAsia"/>
          <w:color w:val="000000" w:themeColor="text1"/>
          <w:kern w:val="28"/>
          <w:sz w:val="24"/>
          <w:highlight w:val="none"/>
          <w:lang w:val="en-US" w:eastAsia="zh-CN"/>
          <w14:textFill>
            <w14:solidFill>
              <w14:schemeClr w14:val="tx1"/>
            </w14:solidFill>
          </w14:textFill>
        </w:rPr>
        <w:t>内容</w:t>
      </w:r>
      <w:r>
        <w:rPr>
          <w:color w:val="000000" w:themeColor="text1"/>
          <w:kern w:val="28"/>
          <w:sz w:val="24"/>
          <w:highlight w:val="none"/>
          <w14:textFill>
            <w14:solidFill>
              <w14:schemeClr w14:val="tx1"/>
            </w14:solidFill>
          </w14:textFill>
        </w:rPr>
        <w:t>如下。</w:t>
      </w:r>
    </w:p>
    <w:p>
      <w:pPr>
        <w:numPr>
          <w:ilvl w:val="0"/>
          <w:numId w:val="3"/>
        </w:numPr>
        <w:spacing w:line="360" w:lineRule="auto"/>
        <w:ind w:firstLine="0"/>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项目概述</w:t>
      </w:r>
    </w:p>
    <w:p>
      <w:pPr>
        <w:numPr>
          <w:ilvl w:val="0"/>
          <w:numId w:val="4"/>
        </w:numPr>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本项目通过公开</w:t>
      </w:r>
      <w:r>
        <w:rPr>
          <w:rFonts w:hint="eastAsia" w:ascii="宋体" w:hAnsi="宋体"/>
          <w:color w:val="000000" w:themeColor="text1"/>
          <w:sz w:val="24"/>
          <w:highlight w:val="none"/>
          <w:lang w:val="en-US" w:eastAsia="zh-CN"/>
          <w14:textFill>
            <w14:solidFill>
              <w14:schemeClr w14:val="tx1"/>
            </w14:solidFill>
          </w14:textFill>
        </w:rPr>
        <w:t>招标</w:t>
      </w:r>
      <w:r>
        <w:rPr>
          <w:rFonts w:hint="eastAsia" w:ascii="宋体" w:hAnsi="宋体"/>
          <w:color w:val="000000" w:themeColor="text1"/>
          <w:sz w:val="24"/>
          <w:highlight w:val="none"/>
          <w14:textFill>
            <w14:solidFill>
              <w14:schemeClr w14:val="tx1"/>
            </w14:solidFill>
          </w14:textFill>
        </w:rPr>
        <w:t>方式确定</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作为“</w:t>
      </w:r>
      <w:r>
        <w:rPr>
          <w:rFonts w:hint="eastAsia" w:ascii="宋体" w:hAnsi="宋体"/>
          <w:color w:val="000000" w:themeColor="text1"/>
          <w:sz w:val="24"/>
          <w:highlight w:val="none"/>
          <w:lang w:val="en-US" w:eastAsia="zh-CN"/>
          <w14:textFill>
            <w14:solidFill>
              <w14:schemeClr w14:val="tx1"/>
            </w14:solidFill>
          </w14:textFill>
        </w:rPr>
        <w:t>2024年</w:t>
      </w:r>
      <w:r>
        <w:rPr>
          <w:rFonts w:hint="eastAsia" w:ascii="宋体" w:hAnsi="宋体"/>
          <w:color w:val="000000" w:themeColor="text1"/>
          <w:sz w:val="24"/>
          <w:highlight w:val="none"/>
          <w:lang w:eastAsia="zh-CN"/>
          <w14:textFill>
            <w14:solidFill>
              <w14:schemeClr w14:val="tx1"/>
            </w14:solidFill>
          </w14:textFill>
        </w:rPr>
        <w:t>药机展</w:t>
      </w:r>
      <w:r>
        <w:rPr>
          <w:rFonts w:hint="eastAsia" w:ascii="宋体" w:hAnsi="宋体"/>
          <w:color w:val="000000" w:themeColor="text1"/>
          <w:sz w:val="24"/>
          <w:highlight w:val="none"/>
          <w14:textFill>
            <w14:solidFill>
              <w14:schemeClr w14:val="tx1"/>
            </w14:solidFill>
          </w14:textFill>
        </w:rPr>
        <w:t>”水电气接驳工程项目的服务单位，负责承接</w:t>
      </w:r>
      <w:r>
        <w:rPr>
          <w:rFonts w:hint="eastAsia" w:ascii="宋体" w:hAnsi="宋体"/>
          <w:color w:val="000000" w:themeColor="text1"/>
          <w:sz w:val="24"/>
          <w:highlight w:val="none"/>
          <w:lang w:val="en-US" w:eastAsia="zh-CN"/>
          <w14:textFill>
            <w14:solidFill>
              <w14:schemeClr w14:val="tx1"/>
            </w14:solidFill>
          </w14:textFill>
        </w:rPr>
        <w:t>展会</w:t>
      </w:r>
      <w:r>
        <w:rPr>
          <w:rFonts w:hint="eastAsia" w:ascii="宋体" w:hAnsi="宋体"/>
          <w:color w:val="000000" w:themeColor="text1"/>
          <w:sz w:val="24"/>
          <w:highlight w:val="none"/>
          <w14:textFill>
            <w14:solidFill>
              <w14:schemeClr w14:val="tx1"/>
            </w14:solidFill>
          </w14:textFill>
        </w:rPr>
        <w:t>水电气接驳工程项目。</w:t>
      </w:r>
    </w:p>
    <w:p>
      <w:pPr>
        <w:numPr>
          <w:ilvl w:val="0"/>
          <w:numId w:val="4"/>
        </w:numPr>
        <w:spacing w:line="360" w:lineRule="auto"/>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项目地点：包括但不仅限于</w:t>
      </w:r>
      <w:r>
        <w:rPr>
          <w:rFonts w:hint="eastAsia" w:ascii="宋体" w:hAnsi="宋体"/>
          <w:bCs/>
          <w:color w:val="000000" w:themeColor="text1"/>
          <w:sz w:val="24"/>
          <w:highlight w:val="none"/>
          <w:lang w:val="en-US" w:eastAsia="zh-CN"/>
          <w14:textFill>
            <w14:solidFill>
              <w14:schemeClr w14:val="tx1"/>
            </w14:solidFill>
          </w14:textFill>
        </w:rPr>
        <w:t>厦门国博中心、厦门国博会议中心</w:t>
      </w:r>
      <w:r>
        <w:rPr>
          <w:rFonts w:hint="eastAsia" w:ascii="宋体" w:hAnsi="宋体"/>
          <w:bCs/>
          <w:color w:val="000000" w:themeColor="text1"/>
          <w:sz w:val="24"/>
          <w:highlight w:val="none"/>
          <w14:textFill>
            <w14:solidFill>
              <w14:schemeClr w14:val="tx1"/>
            </w14:solidFill>
          </w14:textFill>
        </w:rPr>
        <w:t>，具体地点由甲方根据实际情况确定</w:t>
      </w:r>
      <w:r>
        <w:rPr>
          <w:rFonts w:hint="eastAsia" w:ascii="宋体" w:hAnsi="宋体"/>
          <w:bCs/>
          <w:color w:val="000000" w:themeColor="text1"/>
          <w:sz w:val="24"/>
          <w:highlight w:val="none"/>
          <w:lang w:eastAsia="zh-CN"/>
          <w14:textFill>
            <w14:solidFill>
              <w14:schemeClr w14:val="tx1"/>
            </w14:solidFill>
          </w14:textFill>
        </w:rPr>
        <w:t>。</w:t>
      </w:r>
    </w:p>
    <w:p>
      <w:pPr>
        <w:numPr>
          <w:ilvl w:val="0"/>
          <w:numId w:val="4"/>
        </w:numPr>
        <w:spacing w:line="360" w:lineRule="auto"/>
        <w:jc w:val="left"/>
        <w:rPr>
          <w:rFonts w:hint="eastAsia" w:ascii="宋体" w:hAnsi="宋体"/>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项目期限：</w:t>
      </w:r>
      <w:r>
        <w:rPr>
          <w:rFonts w:hint="eastAsia" w:ascii="宋体" w:hAnsi="宋体" w:cs="仿宋"/>
          <w:bCs/>
          <w:color w:val="000000" w:themeColor="text1"/>
          <w:sz w:val="24"/>
          <w:highlight w:val="none"/>
          <w:lang w:eastAsia="zh-CN"/>
          <w14:textFill>
            <w14:solidFill>
              <w14:schemeClr w14:val="tx1"/>
            </w14:solidFill>
          </w14:textFill>
        </w:rPr>
        <w:t>202</w:t>
      </w:r>
      <w:r>
        <w:rPr>
          <w:rFonts w:hint="eastAsia" w:ascii="宋体" w:hAnsi="宋体" w:cs="仿宋"/>
          <w:bCs/>
          <w:color w:val="000000" w:themeColor="text1"/>
          <w:sz w:val="24"/>
          <w:highlight w:val="none"/>
          <w:lang w:val="en-US" w:eastAsia="zh-CN"/>
          <w14:textFill>
            <w14:solidFill>
              <w14:schemeClr w14:val="tx1"/>
            </w14:solidFill>
          </w14:textFill>
        </w:rPr>
        <w:t>4</w:t>
      </w:r>
      <w:r>
        <w:rPr>
          <w:rFonts w:ascii="宋体" w:hAnsi="宋体" w:cs="仿宋"/>
          <w:bCs/>
          <w:color w:val="000000" w:themeColor="text1"/>
          <w:sz w:val="24"/>
          <w:highlight w:val="none"/>
          <w14:textFill>
            <w14:solidFill>
              <w14:schemeClr w14:val="tx1"/>
            </w14:solidFill>
          </w14:textFill>
        </w:rPr>
        <w:t>年</w:t>
      </w:r>
      <w:r>
        <w:rPr>
          <w:rFonts w:hint="eastAsia" w:ascii="宋体" w:hAnsi="宋体" w:cs="仿宋"/>
          <w:bCs/>
          <w:color w:val="000000" w:themeColor="text1"/>
          <w:sz w:val="24"/>
          <w:highlight w:val="none"/>
          <w:lang w:val="en-US" w:eastAsia="zh-CN"/>
          <w14:textFill>
            <w14:solidFill>
              <w14:schemeClr w14:val="tx1"/>
            </w14:solidFill>
          </w14:textFill>
        </w:rPr>
        <w:t>11</w:t>
      </w:r>
      <w:r>
        <w:rPr>
          <w:rFonts w:ascii="宋体" w:hAnsi="宋体" w:cs="仿宋"/>
          <w:bCs/>
          <w:color w:val="000000" w:themeColor="text1"/>
          <w:sz w:val="24"/>
          <w:highlight w:val="none"/>
          <w14:textFill>
            <w14:solidFill>
              <w14:schemeClr w14:val="tx1"/>
            </w14:solidFill>
          </w14:textFill>
        </w:rPr>
        <w:t>月</w:t>
      </w:r>
      <w:r>
        <w:rPr>
          <w:rFonts w:hint="eastAsia" w:ascii="宋体" w:hAnsi="宋体" w:cs="仿宋"/>
          <w:bCs/>
          <w:color w:val="000000" w:themeColor="text1"/>
          <w:sz w:val="24"/>
          <w:highlight w:val="none"/>
          <w:lang w:val="en-US" w:eastAsia="zh-CN"/>
          <w14:textFill>
            <w14:solidFill>
              <w14:schemeClr w14:val="tx1"/>
            </w14:solidFill>
          </w14:textFill>
        </w:rPr>
        <w:t>10</w:t>
      </w:r>
      <w:r>
        <w:rPr>
          <w:rFonts w:ascii="宋体" w:hAnsi="宋体" w:cs="仿宋"/>
          <w:bCs/>
          <w:color w:val="000000" w:themeColor="text1"/>
          <w:sz w:val="24"/>
          <w:highlight w:val="none"/>
          <w14:textFill>
            <w14:solidFill>
              <w14:schemeClr w14:val="tx1"/>
            </w14:solidFill>
          </w14:textFill>
        </w:rPr>
        <w:t>日至202</w:t>
      </w:r>
      <w:r>
        <w:rPr>
          <w:rFonts w:hint="eastAsia" w:ascii="宋体" w:hAnsi="宋体" w:cs="仿宋"/>
          <w:bCs/>
          <w:color w:val="000000" w:themeColor="text1"/>
          <w:sz w:val="24"/>
          <w:highlight w:val="none"/>
          <w:lang w:val="en-US" w:eastAsia="zh-CN"/>
          <w14:textFill>
            <w14:solidFill>
              <w14:schemeClr w14:val="tx1"/>
            </w14:solidFill>
          </w14:textFill>
        </w:rPr>
        <w:t>3</w:t>
      </w:r>
      <w:r>
        <w:rPr>
          <w:rFonts w:ascii="宋体" w:hAnsi="宋体" w:cs="仿宋"/>
          <w:bCs/>
          <w:color w:val="000000" w:themeColor="text1"/>
          <w:sz w:val="24"/>
          <w:highlight w:val="none"/>
          <w14:textFill>
            <w14:solidFill>
              <w14:schemeClr w14:val="tx1"/>
            </w14:solidFill>
          </w14:textFill>
        </w:rPr>
        <w:t>年</w:t>
      </w:r>
      <w:r>
        <w:rPr>
          <w:rFonts w:hint="eastAsia" w:ascii="宋体" w:hAnsi="宋体" w:cs="仿宋"/>
          <w:bCs/>
          <w:color w:val="000000" w:themeColor="text1"/>
          <w:sz w:val="24"/>
          <w:highlight w:val="none"/>
          <w:lang w:val="en-US" w:eastAsia="zh-CN"/>
          <w14:textFill>
            <w14:solidFill>
              <w14:schemeClr w14:val="tx1"/>
            </w14:solidFill>
          </w14:textFill>
        </w:rPr>
        <w:t>11</w:t>
      </w:r>
      <w:r>
        <w:rPr>
          <w:rFonts w:ascii="宋体" w:hAnsi="宋体" w:cs="仿宋"/>
          <w:bCs/>
          <w:color w:val="000000" w:themeColor="text1"/>
          <w:sz w:val="24"/>
          <w:highlight w:val="none"/>
          <w14:textFill>
            <w14:solidFill>
              <w14:schemeClr w14:val="tx1"/>
            </w14:solidFill>
          </w14:textFill>
        </w:rPr>
        <w:t>月</w:t>
      </w:r>
      <w:r>
        <w:rPr>
          <w:rFonts w:hint="eastAsia" w:ascii="宋体" w:hAnsi="宋体" w:cs="仿宋"/>
          <w:bCs/>
          <w:color w:val="000000" w:themeColor="text1"/>
          <w:sz w:val="24"/>
          <w:highlight w:val="none"/>
          <w:lang w:val="en-US" w:eastAsia="zh-CN"/>
          <w14:textFill>
            <w14:solidFill>
              <w14:schemeClr w14:val="tx1"/>
            </w14:solidFill>
          </w14:textFill>
        </w:rPr>
        <w:t>22</w:t>
      </w:r>
      <w:r>
        <w:rPr>
          <w:rFonts w:ascii="宋体" w:hAnsi="宋体" w:cs="仿宋"/>
          <w:bCs/>
          <w:color w:val="000000" w:themeColor="text1"/>
          <w:sz w:val="24"/>
          <w:highlight w:val="none"/>
          <w14:textFill>
            <w14:solidFill>
              <w14:schemeClr w14:val="tx1"/>
            </w14:solidFill>
          </w14:textFill>
        </w:rPr>
        <w:t>日</w:t>
      </w:r>
      <w:r>
        <w:rPr>
          <w:rFonts w:hint="eastAsia" w:ascii="宋体" w:hAnsi="宋体" w:cs="仿宋"/>
          <w:bCs/>
          <w:color w:val="000000" w:themeColor="text1"/>
          <w:sz w:val="24"/>
          <w:highlight w:val="none"/>
          <w14:textFill>
            <w14:solidFill>
              <w14:schemeClr w14:val="tx1"/>
            </w14:solidFill>
          </w14:textFill>
        </w:rPr>
        <w:t>。</w:t>
      </w:r>
    </w:p>
    <w:p>
      <w:pPr>
        <w:numPr>
          <w:ilvl w:val="0"/>
          <w:numId w:val="3"/>
        </w:numPr>
        <w:spacing w:line="360" w:lineRule="auto"/>
        <w:ind w:firstLine="0"/>
        <w:rPr>
          <w:rFonts w:ascii="宋体" w:hAnsi="宋体" w:cs="仿宋"/>
          <w:bCs/>
          <w:color w:val="000000" w:themeColor="text1"/>
          <w:sz w:val="24"/>
          <w:highlight w:val="none"/>
          <w14:textFill>
            <w14:solidFill>
              <w14:schemeClr w14:val="tx1"/>
            </w14:solidFill>
          </w14:textFill>
        </w:rPr>
      </w:pPr>
      <w:r>
        <w:rPr>
          <w:rFonts w:ascii="宋体" w:hAnsi="宋体" w:cs="仿宋"/>
          <w:b/>
          <w:color w:val="000000" w:themeColor="text1"/>
          <w:sz w:val="24"/>
          <w:highlight w:val="none"/>
          <w14:textFill>
            <w14:solidFill>
              <w14:schemeClr w14:val="tx1"/>
            </w14:solidFill>
          </w14:textFill>
        </w:rPr>
        <w:t>服务</w:t>
      </w:r>
      <w:r>
        <w:rPr>
          <w:rFonts w:hint="eastAsia" w:ascii="宋体" w:hAnsi="宋体" w:cs="仿宋"/>
          <w:b/>
          <w:color w:val="000000" w:themeColor="text1"/>
          <w:sz w:val="24"/>
          <w:highlight w:val="none"/>
          <w:lang w:val="en-US" w:eastAsia="zh-CN"/>
          <w14:textFill>
            <w14:solidFill>
              <w14:schemeClr w14:val="tx1"/>
            </w14:solidFill>
          </w14:textFill>
        </w:rPr>
        <w:t>范围及工程量</w:t>
      </w:r>
    </w:p>
    <w:p>
      <w:pPr>
        <w:adjustRightInd w:val="0"/>
        <w:snapToGrid w:val="0"/>
        <w:spacing w:line="360" w:lineRule="auto"/>
        <w:ind w:firstLine="480" w:firstLineChars="200"/>
        <w:rPr>
          <w:rFonts w:hint="default" w:ascii="宋体" w:hAnsi="宋体" w:cs="宋体"/>
          <w:bCs/>
          <w:strike w:val="0"/>
          <w:color w:val="000000" w:themeColor="text1"/>
          <w:sz w:val="24"/>
          <w:highlight w:val="none"/>
          <w:lang w:val="en-US" w:eastAsia="zh-CN"/>
          <w14:textFill>
            <w14:solidFill>
              <w14:schemeClr w14:val="tx1"/>
            </w14:solidFill>
          </w14:textFill>
        </w:rPr>
      </w:pPr>
      <w:r>
        <w:rPr>
          <w:rFonts w:hint="eastAsia" w:ascii="宋体" w:hAnsi="宋体" w:cs="宋体"/>
          <w:bCs/>
          <w:strike w:val="0"/>
          <w:color w:val="000000" w:themeColor="text1"/>
          <w:sz w:val="24"/>
          <w:highlight w:val="none"/>
          <w:lang w:val="en-US" w:eastAsia="zh-CN"/>
          <w14:textFill>
            <w14:solidFill>
              <w14:schemeClr w14:val="tx1"/>
            </w14:solidFill>
          </w14:textFill>
        </w:rPr>
        <w:t>本合同按2023年度药机展满馆展的业务量的一半进行预估，实际业务范围及工程量以国贸展览中心有限公司和国贸会议中心有限公司所委派给甲方的业务范围和工程量为准。</w:t>
      </w:r>
    </w:p>
    <w:p>
      <w:pPr>
        <w:numPr>
          <w:ilvl w:val="0"/>
          <w:numId w:val="3"/>
        </w:numPr>
        <w:spacing w:line="360" w:lineRule="auto"/>
        <w:ind w:firstLine="0"/>
        <w:rPr>
          <w:color w:val="000000" w:themeColor="text1"/>
          <w:sz w:val="24"/>
          <w:highlight w:val="none"/>
          <w14:textFill>
            <w14:solidFill>
              <w14:schemeClr w14:val="tx1"/>
            </w14:solidFill>
          </w14:textFill>
        </w:rPr>
      </w:pPr>
      <w:r>
        <w:rPr>
          <w:rFonts w:ascii="宋体" w:hAnsi="宋体" w:cs="仿宋"/>
          <w:b/>
          <w:color w:val="000000" w:themeColor="text1"/>
          <w:sz w:val="24"/>
          <w:highlight w:val="none"/>
          <w14:textFill>
            <w14:solidFill>
              <w14:schemeClr w14:val="tx1"/>
            </w14:solidFill>
          </w14:textFill>
        </w:rPr>
        <w:t>项目预算单价及</w:t>
      </w:r>
      <w:r>
        <w:rPr>
          <w:rFonts w:hint="eastAsia" w:ascii="宋体" w:hAnsi="宋体" w:cs="仿宋"/>
          <w:b/>
          <w:color w:val="000000" w:themeColor="text1"/>
          <w:sz w:val="24"/>
          <w:highlight w:val="none"/>
          <w14:textFill>
            <w14:solidFill>
              <w14:schemeClr w14:val="tx1"/>
            </w14:solidFill>
          </w14:textFill>
        </w:rPr>
        <w:t>服务费用</w:t>
      </w:r>
      <w:r>
        <w:rPr>
          <w:rFonts w:ascii="宋体" w:hAnsi="宋体" w:cs="仿宋"/>
          <w:b/>
          <w:color w:val="000000" w:themeColor="text1"/>
          <w:sz w:val="24"/>
          <w:highlight w:val="none"/>
          <w14:textFill>
            <w14:solidFill>
              <w14:schemeClr w14:val="tx1"/>
            </w14:solidFill>
          </w14:textFill>
        </w:rPr>
        <w:t>：</w:t>
      </w:r>
    </w:p>
    <w:p>
      <w:pPr>
        <w:numPr>
          <w:ilvl w:val="0"/>
          <w:numId w:val="5"/>
        </w:numPr>
        <w:adjustRightInd w:val="0"/>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本项目各项工作和各项收费</w:t>
      </w:r>
      <w:r>
        <w:rPr>
          <w:rFonts w:hint="eastAsia"/>
          <w:color w:val="000000" w:themeColor="text1"/>
          <w:sz w:val="24"/>
          <w:highlight w:val="none"/>
          <w:lang w:val="en-US" w:eastAsia="zh-CN"/>
          <w14:textFill>
            <w14:solidFill>
              <w14:schemeClr w14:val="tx1"/>
            </w14:solidFill>
          </w14:textFill>
        </w:rPr>
        <w:t>总包干</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展会所需材料</w:t>
      </w:r>
      <w:r>
        <w:rPr>
          <w:rFonts w:hint="eastAsia"/>
          <w:color w:val="000000" w:themeColor="text1"/>
          <w:sz w:val="24"/>
          <w:highlight w:val="none"/>
          <w14:textFill>
            <w14:solidFill>
              <w14:schemeClr w14:val="tx1"/>
            </w14:solidFill>
          </w14:textFill>
        </w:rPr>
        <w:t>详见下表：</w:t>
      </w:r>
    </w:p>
    <w:tbl>
      <w:tblPr>
        <w:tblStyle w:val="17"/>
        <w:tblW w:w="9225" w:type="dxa"/>
        <w:tblInd w:w="9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50"/>
        <w:gridCol w:w="2435"/>
        <w:gridCol w:w="4093"/>
        <w:gridCol w:w="870"/>
        <w:gridCol w:w="11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rPr>
                <w:rFonts w:hint="eastAsia" w:ascii="宋体" w:hAnsi="宋体" w:cs="宋体"/>
                <w:color w:val="000000" w:themeColor="text1"/>
                <w:sz w:val="20"/>
                <w:szCs w:val="20"/>
                <w:highlight w:val="none"/>
                <w14:textFill>
                  <w14:solidFill>
                    <w14:schemeClr w14:val="tx1"/>
                  </w14:solidFill>
                </w14:textFill>
              </w:rPr>
            </w:pPr>
            <w:r>
              <w:rPr>
                <w:rFonts w:ascii="宋体" w:hAnsi="宋体" w:cs="仿宋"/>
                <w:b/>
                <w:color w:val="000000" w:themeColor="text1"/>
                <w:kern w:val="0"/>
                <w:szCs w:val="21"/>
                <w:highlight w:val="none"/>
                <w14:textFill>
                  <w14:solidFill>
                    <w14:schemeClr w14:val="tx1"/>
                  </w14:solidFill>
                </w14:textFill>
              </w:rPr>
              <w:t>序号</w:t>
            </w:r>
          </w:p>
        </w:tc>
        <w:tc>
          <w:tcPr>
            <w:tcW w:w="2435"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ascii="宋体" w:hAnsi="宋体" w:cs="仿宋"/>
                <w:b/>
                <w:color w:val="000000" w:themeColor="text1"/>
                <w:kern w:val="0"/>
                <w:szCs w:val="21"/>
                <w:highlight w:val="none"/>
                <w14:textFill>
                  <w14:solidFill>
                    <w14:schemeClr w14:val="tx1"/>
                  </w14:solidFill>
                </w14:textFill>
              </w:rPr>
              <w:t>项目名称</w:t>
            </w:r>
          </w:p>
        </w:tc>
        <w:tc>
          <w:tcPr>
            <w:tcW w:w="4093" w:type="dxa"/>
            <w:shd w:val="clear" w:color="FFFFFF" w:fill="FFFFFF"/>
            <w:noWrap w:val="0"/>
            <w:vAlign w:val="center"/>
          </w:tcPr>
          <w:p>
            <w:pPr>
              <w:keepLines/>
              <w:spacing w:line="360" w:lineRule="auto"/>
              <w:jc w:val="center"/>
              <w:rPr>
                <w:rFonts w:hint="eastAsia" w:ascii="宋体" w:hAnsi="宋体" w:cs="宋体"/>
                <w:color w:val="000000" w:themeColor="text1"/>
                <w:sz w:val="20"/>
                <w:szCs w:val="20"/>
                <w:highlight w:val="none"/>
                <w14:textFill>
                  <w14:solidFill>
                    <w14:schemeClr w14:val="tx1"/>
                  </w14:solidFill>
                </w14:textFill>
              </w:rPr>
            </w:pPr>
            <w:r>
              <w:rPr>
                <w:rFonts w:ascii="宋体" w:hAnsi="宋体" w:cs="仿宋"/>
                <w:b/>
                <w:color w:val="000000" w:themeColor="text1"/>
                <w:kern w:val="0"/>
                <w:szCs w:val="21"/>
                <w:highlight w:val="none"/>
                <w14:textFill>
                  <w14:solidFill>
                    <w14:schemeClr w14:val="tx1"/>
                  </w14:solidFill>
                </w14:textFill>
              </w:rPr>
              <w:t>项目特征描述</w:t>
            </w:r>
          </w:p>
        </w:tc>
        <w:tc>
          <w:tcPr>
            <w:tcW w:w="870" w:type="dxa"/>
            <w:shd w:val="clear" w:color="FFFFFF" w:fill="FFFFFF"/>
            <w:noWrap w:val="0"/>
            <w:vAlign w:val="center"/>
          </w:tcPr>
          <w:p>
            <w:pPr>
              <w:keepLines/>
              <w:spacing w:line="360" w:lineRule="auto"/>
              <w:jc w:val="center"/>
              <w:rPr>
                <w:rFonts w:hint="eastAsia" w:ascii="宋体" w:hAnsi="宋体" w:cs="宋体"/>
                <w:color w:val="000000" w:themeColor="text1"/>
                <w:sz w:val="20"/>
                <w:szCs w:val="20"/>
                <w:highlight w:val="none"/>
                <w14:textFill>
                  <w14:solidFill>
                    <w14:schemeClr w14:val="tx1"/>
                  </w14:solidFill>
                </w14:textFill>
              </w:rPr>
            </w:pPr>
            <w:r>
              <w:rPr>
                <w:rFonts w:ascii="宋体" w:hAnsi="宋体" w:cs="仿宋"/>
                <w:b/>
                <w:color w:val="000000" w:themeColor="text1"/>
                <w:kern w:val="0"/>
                <w:szCs w:val="21"/>
                <w:highlight w:val="none"/>
                <w14:textFill>
                  <w14:solidFill>
                    <w14:schemeClr w14:val="tx1"/>
                  </w14:solidFill>
                </w14:textFill>
              </w:rPr>
              <w:t>单位</w:t>
            </w:r>
          </w:p>
        </w:tc>
        <w:tc>
          <w:tcPr>
            <w:tcW w:w="1177" w:type="dxa"/>
            <w:shd w:val="clear" w:color="FFFFFF" w:fill="FFFFFF"/>
            <w:noWrap w:val="0"/>
            <w:vAlign w:val="center"/>
          </w:tcPr>
          <w:p>
            <w:pPr>
              <w:keepLines/>
              <w:spacing w:line="360" w:lineRule="auto"/>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乙</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方无偿提供所有施工材料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二</w:t>
            </w:r>
          </w:p>
        </w:tc>
        <w:tc>
          <w:tcPr>
            <w:tcW w:w="8575" w:type="dxa"/>
            <w:gridSpan w:val="4"/>
            <w:shd w:val="clear" w:color="FFFFFF" w:fill="FFFFFF"/>
            <w:noWrap w:val="0"/>
            <w:vAlign w:val="center"/>
          </w:tcPr>
          <w:p>
            <w:pPr>
              <w:keepLines/>
              <w:spacing w:line="360" w:lineRule="auto"/>
              <w:jc w:val="left"/>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甲供水电气材料服务标准（甲方仓库材料</w:t>
            </w:r>
            <w:r>
              <w:rPr>
                <w:rFonts w:hint="eastAsia" w:ascii="宋体" w:hAnsi="宋体" w:cs="宋体"/>
                <w:b/>
                <w:bCs/>
                <w:color w:val="000000" w:themeColor="text1"/>
                <w:kern w:val="0"/>
                <w:sz w:val="20"/>
                <w:szCs w:val="20"/>
                <w:highlight w:val="none"/>
                <w:lang w:eastAsia="zh-CN" w:bidi="ar"/>
                <w14:textFill>
                  <w14:solidFill>
                    <w14:schemeClr w14:val="tx1"/>
                  </w14:solidFill>
                </w14:textFill>
              </w:rPr>
              <w:t>，</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如有</w:t>
            </w:r>
            <w:r>
              <w:rPr>
                <w:rFonts w:hint="eastAsia" w:ascii="宋体" w:hAnsi="宋体" w:cs="宋体"/>
                <w:b/>
                <w:bCs/>
                <w:color w:val="000000" w:themeColor="text1"/>
                <w:kern w:val="0"/>
                <w:sz w:val="20"/>
                <w:szCs w:val="20"/>
                <w:highlight w:val="none"/>
                <w:lang w:bidi="ar"/>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w:t>
            </w:r>
          </w:p>
        </w:tc>
        <w:tc>
          <w:tcPr>
            <w:tcW w:w="2435" w:type="dxa"/>
            <w:shd w:val="clear" w:color="FFFFFF" w:fill="FFFFFF"/>
            <w:noWrap w:val="0"/>
            <w:vAlign w:val="center"/>
          </w:tcPr>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压缩空气阀门、管道等安装、拆除</w:t>
            </w:r>
          </w:p>
        </w:tc>
        <w:tc>
          <w:tcPr>
            <w:tcW w:w="4093" w:type="dxa"/>
            <w:shd w:val="clear" w:color="FFFFFF" w:fill="FFFFFF"/>
            <w:noWrap w:val="0"/>
            <w:vAlign w:val="center"/>
          </w:tcPr>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1.利用甲方展馆提供的材料(包含水/气管及其辅材、电箱及其配套电缆等)，限期内完成指定展位位置的使用需求服务工作。包括搬运、安装、调试、使用过程安全监控和拆卸等展会全过程工作。</w:t>
            </w:r>
          </w:p>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2.展会期间，乙方配合甲方完成相关服务展位的安全监管，对不符合安全要求的问题及时提出整改意见。</w:t>
            </w:r>
          </w:p>
        </w:tc>
        <w:tc>
          <w:tcPr>
            <w:tcW w:w="87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点</w:t>
            </w:r>
          </w:p>
        </w:tc>
        <w:tc>
          <w:tcPr>
            <w:tcW w:w="1177" w:type="dxa"/>
            <w:shd w:val="clear" w:color="FFFFFF" w:fill="FFFFFF"/>
            <w:noWrap w:val="0"/>
            <w:vAlign w:val="center"/>
          </w:tcPr>
          <w:p>
            <w:pPr>
              <w:keepLines/>
              <w:spacing w:line="360" w:lineRule="auto"/>
              <w:jc w:val="center"/>
              <w:textAlignment w:val="center"/>
              <w:rPr>
                <w:rFonts w:hint="default" w:ascii="宋体" w:hAnsi="宋体" w:cs="宋体"/>
                <w:color w:val="000000" w:themeColor="text1"/>
                <w:sz w:val="18"/>
                <w:szCs w:val="18"/>
                <w:highlight w:val="none"/>
                <w:lang w:val="en-US"/>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甲方仓库</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如有</w:t>
            </w:r>
            <w:r>
              <w:rPr>
                <w:rFonts w:hint="eastAsia" w:ascii="宋体" w:hAnsi="宋体" w:cs="宋体"/>
                <w:b/>
                <w:bCs/>
                <w:color w:val="000000" w:themeColor="text1"/>
                <w:kern w:val="0"/>
                <w:sz w:val="20"/>
                <w:szCs w:val="20"/>
                <w:highlight w:val="none"/>
                <w:lang w:bidi="ar"/>
                <w14:textFill>
                  <w14:solidFill>
                    <w14:schemeClr w14:val="tx1"/>
                  </w14:solidFill>
                </w14:textFill>
              </w:rPr>
              <w:t>材料</w:t>
            </w:r>
            <w:r>
              <w:rPr>
                <w:rFonts w:hint="eastAsia" w:ascii="宋体" w:hAnsi="宋体" w:cs="宋体"/>
                <w:b/>
                <w:bCs/>
                <w:color w:val="000000" w:themeColor="text1"/>
                <w:kern w:val="0"/>
                <w:sz w:val="20"/>
                <w:szCs w:val="20"/>
                <w:highlight w:val="none"/>
                <w:lang w:eastAsia="zh-CN" w:bidi="ar"/>
                <w14:textFill>
                  <w14:solidFill>
                    <w14:schemeClr w14:val="tx1"/>
                  </w14:solidFill>
                </w14:textFill>
              </w:rPr>
              <w:t>，</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可用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w:t>
            </w:r>
          </w:p>
        </w:tc>
        <w:tc>
          <w:tcPr>
            <w:tcW w:w="2435" w:type="dxa"/>
            <w:shd w:val="clear" w:color="FFFFFF" w:fill="FFFFFF"/>
            <w:noWrap w:val="0"/>
            <w:vAlign w:val="center"/>
          </w:tcPr>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供水点阀门、管道等安装、拆除</w:t>
            </w:r>
          </w:p>
        </w:tc>
        <w:tc>
          <w:tcPr>
            <w:tcW w:w="4093" w:type="dxa"/>
            <w:shd w:val="clear" w:color="FFFFFF" w:fill="FFFFFF"/>
            <w:noWrap w:val="0"/>
            <w:vAlign w:val="center"/>
          </w:tcPr>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1.利用甲方展馆提供的材料(包含水/气管及其辅材、电箱及其配套电缆等)，限期内完成指定展位位置的使用需求服务工作。包括搬运、安装、调试、使用过程安全监控和拆卸等展会全过程工作。</w:t>
            </w:r>
          </w:p>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2.展会期间，乙方配合甲方完成相关服务展位的安全监管，对不符合安全要求的问题及时提出整改意见。</w:t>
            </w:r>
          </w:p>
        </w:tc>
        <w:tc>
          <w:tcPr>
            <w:tcW w:w="87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点</w:t>
            </w:r>
          </w:p>
        </w:tc>
        <w:tc>
          <w:tcPr>
            <w:tcW w:w="1177"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甲方仓库</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如有</w:t>
            </w:r>
            <w:r>
              <w:rPr>
                <w:rFonts w:hint="eastAsia" w:ascii="宋体" w:hAnsi="宋体" w:cs="宋体"/>
                <w:b/>
                <w:bCs/>
                <w:color w:val="000000" w:themeColor="text1"/>
                <w:kern w:val="0"/>
                <w:sz w:val="20"/>
                <w:szCs w:val="20"/>
                <w:highlight w:val="none"/>
                <w:lang w:bidi="ar"/>
                <w14:textFill>
                  <w14:solidFill>
                    <w14:schemeClr w14:val="tx1"/>
                  </w14:solidFill>
                </w14:textFill>
              </w:rPr>
              <w:t>材料</w:t>
            </w:r>
            <w:r>
              <w:rPr>
                <w:rFonts w:hint="eastAsia" w:ascii="宋体" w:hAnsi="宋体" w:cs="宋体"/>
                <w:b/>
                <w:bCs/>
                <w:color w:val="000000" w:themeColor="text1"/>
                <w:kern w:val="0"/>
                <w:sz w:val="20"/>
                <w:szCs w:val="20"/>
                <w:highlight w:val="none"/>
                <w:lang w:eastAsia="zh-CN" w:bidi="ar"/>
                <w14:textFill>
                  <w14:solidFill>
                    <w14:schemeClr w14:val="tx1"/>
                  </w14:solidFill>
                </w14:textFill>
              </w:rPr>
              <w:t>，</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可用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w:t>
            </w:r>
          </w:p>
        </w:tc>
        <w:tc>
          <w:tcPr>
            <w:tcW w:w="2435" w:type="dxa"/>
            <w:shd w:val="clear" w:color="FFFFFF" w:fill="FFFFFF"/>
            <w:noWrap w:val="0"/>
            <w:vAlign w:val="center"/>
          </w:tcPr>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eastAsia="zh-CN" w:bidi="ar"/>
                <w14:textFill>
                  <w14:solidFill>
                    <w14:schemeClr w14:val="tx1"/>
                  </w14:solidFill>
                </w14:textFill>
              </w:rPr>
              <w:t>16A/220V</w:t>
            </w:r>
            <w:r>
              <w:rPr>
                <w:rFonts w:hint="eastAsia" w:ascii="宋体" w:hAnsi="宋体" w:cs="宋体"/>
                <w:color w:val="000000" w:themeColor="text1"/>
                <w:kern w:val="0"/>
                <w:sz w:val="20"/>
                <w:szCs w:val="20"/>
                <w:highlight w:val="none"/>
                <w:lang w:bidi="ar"/>
                <w14:textFill>
                  <w14:solidFill>
                    <w14:schemeClr w14:val="tx1"/>
                  </w14:solidFill>
                </w14:textFill>
              </w:rPr>
              <w:t>用电点的配电箱、电缆及配管线槽安装、拆除</w:t>
            </w:r>
          </w:p>
        </w:tc>
        <w:tc>
          <w:tcPr>
            <w:tcW w:w="4093" w:type="dxa"/>
            <w:shd w:val="clear" w:color="FFFFFF" w:fill="FFFFFF"/>
            <w:noWrap w:val="0"/>
            <w:vAlign w:val="center"/>
          </w:tcPr>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1.利用甲方展馆提供的材料(包含水/气管及其辅材、电箱及其配套电缆等)，限期内完成指定展位位置的使用需求服务工作。包括搬运、安装、调试、使用过程安全监控和拆卸等展会全过程工作。</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2.当甲供的某一型号电箱数量不能满足展会需求使用时，甲方可调用甲供的其他类型电箱进行配套安装，不增加额外差额费用。展位服务的用电点大小按照《展会服务需求确认表》进行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tc>
        <w:tc>
          <w:tcPr>
            <w:tcW w:w="87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点</w:t>
            </w:r>
          </w:p>
        </w:tc>
        <w:tc>
          <w:tcPr>
            <w:tcW w:w="1177"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甲方仓库</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如有</w:t>
            </w:r>
            <w:r>
              <w:rPr>
                <w:rFonts w:hint="eastAsia" w:ascii="宋体" w:hAnsi="宋体" w:cs="宋体"/>
                <w:b/>
                <w:bCs/>
                <w:color w:val="000000" w:themeColor="text1"/>
                <w:kern w:val="0"/>
                <w:sz w:val="20"/>
                <w:szCs w:val="20"/>
                <w:highlight w:val="none"/>
                <w:lang w:bidi="ar"/>
                <w14:textFill>
                  <w14:solidFill>
                    <w14:schemeClr w14:val="tx1"/>
                  </w14:solidFill>
                </w14:textFill>
              </w:rPr>
              <w:t>材料</w:t>
            </w:r>
            <w:r>
              <w:rPr>
                <w:rFonts w:hint="eastAsia" w:ascii="宋体" w:hAnsi="宋体" w:cs="宋体"/>
                <w:b/>
                <w:bCs/>
                <w:color w:val="000000" w:themeColor="text1"/>
                <w:kern w:val="0"/>
                <w:sz w:val="20"/>
                <w:szCs w:val="20"/>
                <w:highlight w:val="none"/>
                <w:lang w:eastAsia="zh-CN" w:bidi="ar"/>
                <w14:textFill>
                  <w14:solidFill>
                    <w14:schemeClr w14:val="tx1"/>
                  </w14:solidFill>
                </w14:textFill>
              </w:rPr>
              <w:t>，</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可用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5</w:t>
            </w:r>
          </w:p>
        </w:tc>
        <w:tc>
          <w:tcPr>
            <w:tcW w:w="2435" w:type="dxa"/>
            <w:shd w:val="clear" w:color="FFFFFF" w:fill="FFFFFF"/>
            <w:noWrap w:val="0"/>
            <w:vAlign w:val="center"/>
          </w:tcPr>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16A/380V用电点的配电箱、电缆及配管线槽安装、拆除</w:t>
            </w:r>
          </w:p>
        </w:tc>
        <w:tc>
          <w:tcPr>
            <w:tcW w:w="4093" w:type="dxa"/>
            <w:shd w:val="clear" w:color="FFFFFF" w:fill="FFFFFF"/>
            <w:noWrap w:val="0"/>
            <w:vAlign w:val="center"/>
          </w:tcPr>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1.利用甲方展馆提供的材料(包含水/气管及其辅材、电箱及其配套电缆等)，限期内完成指定展位位置的使用需求服务工作。包括搬运、安装、调试、使用过程安全监控和拆卸等展会全过程工作。</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2.当甲供的某一型号电箱数量不能满足展会需求使用时，甲方可调用甲供的其他类型电箱进行配套安装，不增加额外差额费用。展位服务的用电点大小按照《展会服务需求确认表》进行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tc>
        <w:tc>
          <w:tcPr>
            <w:tcW w:w="87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点</w:t>
            </w:r>
          </w:p>
        </w:tc>
        <w:tc>
          <w:tcPr>
            <w:tcW w:w="1177"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甲方仓库</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如有</w:t>
            </w:r>
            <w:r>
              <w:rPr>
                <w:rFonts w:hint="eastAsia" w:ascii="宋体" w:hAnsi="宋体" w:cs="宋体"/>
                <w:b/>
                <w:bCs/>
                <w:color w:val="000000" w:themeColor="text1"/>
                <w:kern w:val="0"/>
                <w:sz w:val="20"/>
                <w:szCs w:val="20"/>
                <w:highlight w:val="none"/>
                <w:lang w:bidi="ar"/>
                <w14:textFill>
                  <w14:solidFill>
                    <w14:schemeClr w14:val="tx1"/>
                  </w14:solidFill>
                </w14:textFill>
              </w:rPr>
              <w:t>材料</w:t>
            </w:r>
            <w:r>
              <w:rPr>
                <w:rFonts w:hint="eastAsia" w:ascii="宋体" w:hAnsi="宋体" w:cs="宋体"/>
                <w:b/>
                <w:bCs/>
                <w:color w:val="000000" w:themeColor="text1"/>
                <w:kern w:val="0"/>
                <w:sz w:val="20"/>
                <w:szCs w:val="20"/>
                <w:highlight w:val="none"/>
                <w:lang w:eastAsia="zh-CN" w:bidi="ar"/>
                <w14:textFill>
                  <w14:solidFill>
                    <w14:schemeClr w14:val="tx1"/>
                  </w14:solidFill>
                </w14:textFill>
              </w:rPr>
              <w:t>，</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可用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w:t>
            </w:r>
          </w:p>
        </w:tc>
        <w:tc>
          <w:tcPr>
            <w:tcW w:w="2435" w:type="dxa"/>
            <w:shd w:val="clear" w:color="FFFFFF" w:fill="FFFFFF"/>
            <w:noWrap w:val="0"/>
            <w:vAlign w:val="center"/>
          </w:tcPr>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32A/380V用电点的配电箱、电缆及配管线槽安装、拆除</w:t>
            </w:r>
          </w:p>
        </w:tc>
        <w:tc>
          <w:tcPr>
            <w:tcW w:w="4093" w:type="dxa"/>
            <w:shd w:val="clear" w:color="FFFFFF" w:fill="FFFFFF"/>
            <w:noWrap w:val="0"/>
            <w:vAlign w:val="center"/>
          </w:tcPr>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1.利用甲方展馆提供的材料(包含水/气管及其辅材、电箱及其配套电缆等)，限期内完成指定展位位置的使用需求服务工作。包括搬运、安装、调试、使用过程安全监控和拆卸等展会全过程工作。</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2.当甲供的某一型号电箱数量不能满足展会需求使用时，甲方可调用甲供的其他类型电箱进行配套安装，不增加额外差额费用。展位服务的用电点大小按照《展会服务需求确认表》进行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tc>
        <w:tc>
          <w:tcPr>
            <w:tcW w:w="87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点</w:t>
            </w:r>
          </w:p>
        </w:tc>
        <w:tc>
          <w:tcPr>
            <w:tcW w:w="1177"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甲方仓库</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如有</w:t>
            </w:r>
            <w:r>
              <w:rPr>
                <w:rFonts w:hint="eastAsia" w:ascii="宋体" w:hAnsi="宋体" w:cs="宋体"/>
                <w:b/>
                <w:bCs/>
                <w:color w:val="000000" w:themeColor="text1"/>
                <w:kern w:val="0"/>
                <w:sz w:val="20"/>
                <w:szCs w:val="20"/>
                <w:highlight w:val="none"/>
                <w:lang w:bidi="ar"/>
                <w14:textFill>
                  <w14:solidFill>
                    <w14:schemeClr w14:val="tx1"/>
                  </w14:solidFill>
                </w14:textFill>
              </w:rPr>
              <w:t>材料</w:t>
            </w:r>
            <w:r>
              <w:rPr>
                <w:rFonts w:hint="eastAsia" w:ascii="宋体" w:hAnsi="宋体" w:cs="宋体"/>
                <w:b/>
                <w:bCs/>
                <w:color w:val="000000" w:themeColor="text1"/>
                <w:kern w:val="0"/>
                <w:sz w:val="20"/>
                <w:szCs w:val="20"/>
                <w:highlight w:val="none"/>
                <w:lang w:eastAsia="zh-CN" w:bidi="ar"/>
                <w14:textFill>
                  <w14:solidFill>
                    <w14:schemeClr w14:val="tx1"/>
                  </w14:solidFill>
                </w14:textFill>
              </w:rPr>
              <w:t>，</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可用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7</w:t>
            </w:r>
          </w:p>
        </w:tc>
        <w:tc>
          <w:tcPr>
            <w:tcW w:w="2435" w:type="dxa"/>
            <w:shd w:val="clear" w:color="FFFFFF" w:fill="FFFFFF"/>
            <w:noWrap w:val="0"/>
            <w:vAlign w:val="center"/>
          </w:tcPr>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63A/380V用电点的配电箱、电缆及配管线槽安装、拆除</w:t>
            </w:r>
          </w:p>
        </w:tc>
        <w:tc>
          <w:tcPr>
            <w:tcW w:w="4093" w:type="dxa"/>
            <w:shd w:val="clear" w:color="FFFFFF" w:fill="FFFFFF"/>
            <w:noWrap w:val="0"/>
            <w:vAlign w:val="center"/>
          </w:tcPr>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1.利用甲方展馆提供的材料(包含水/气管及其辅材、电箱及其配套电缆等)，限期内完成指定展位位置的使用需求服务工作。包括搬运、安装、调试、使用过程安全监控和拆卸等展会全过程工作。</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2.当甲供的某一型号电箱数量不能满足展会需求使用时，甲方可调用甲供的其他类型电箱进行配套安装，不增加额外差额费用。展位服务的用电点大小按照《展会服务需求确认表》进行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tc>
        <w:tc>
          <w:tcPr>
            <w:tcW w:w="87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点</w:t>
            </w:r>
          </w:p>
        </w:tc>
        <w:tc>
          <w:tcPr>
            <w:tcW w:w="1177"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甲方仓库</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如有</w:t>
            </w:r>
            <w:r>
              <w:rPr>
                <w:rFonts w:hint="eastAsia" w:ascii="宋体" w:hAnsi="宋体" w:cs="宋体"/>
                <w:b/>
                <w:bCs/>
                <w:color w:val="000000" w:themeColor="text1"/>
                <w:kern w:val="0"/>
                <w:sz w:val="20"/>
                <w:szCs w:val="20"/>
                <w:highlight w:val="none"/>
                <w:lang w:bidi="ar"/>
                <w14:textFill>
                  <w14:solidFill>
                    <w14:schemeClr w14:val="tx1"/>
                  </w14:solidFill>
                </w14:textFill>
              </w:rPr>
              <w:t>材料</w:t>
            </w:r>
            <w:r>
              <w:rPr>
                <w:rFonts w:hint="eastAsia" w:ascii="宋体" w:hAnsi="宋体" w:cs="宋体"/>
                <w:b/>
                <w:bCs/>
                <w:color w:val="000000" w:themeColor="text1"/>
                <w:kern w:val="0"/>
                <w:sz w:val="20"/>
                <w:szCs w:val="20"/>
                <w:highlight w:val="none"/>
                <w:lang w:eastAsia="zh-CN" w:bidi="ar"/>
                <w14:textFill>
                  <w14:solidFill>
                    <w14:schemeClr w14:val="tx1"/>
                  </w14:solidFill>
                </w14:textFill>
              </w:rPr>
              <w:t>，</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可用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w:t>
            </w:r>
          </w:p>
        </w:tc>
        <w:tc>
          <w:tcPr>
            <w:tcW w:w="2435" w:type="dxa"/>
            <w:shd w:val="clear" w:color="FFFFFF" w:fill="FFFFFF"/>
            <w:noWrap w:val="0"/>
            <w:vAlign w:val="center"/>
          </w:tcPr>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125A/380V用电点的配电箱、电缆及配管线槽安装、拆除</w:t>
            </w:r>
          </w:p>
        </w:tc>
        <w:tc>
          <w:tcPr>
            <w:tcW w:w="4093" w:type="dxa"/>
            <w:shd w:val="clear" w:color="FFFFFF" w:fill="FFFFFF"/>
            <w:noWrap w:val="0"/>
            <w:vAlign w:val="center"/>
          </w:tcPr>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1.利用甲方展馆提供的材料(包含水/气管及其辅材、电箱及其配套电缆等)，限期内完成指定展位位置的使用需求服务工作。包括搬运、安装、调试、使用过程安全监控和拆卸等展会全过程工作。</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2.当甲供的某一型号电箱数量不能满足展会需求使用时，甲方可调用甲供的其他类型电箱进行配套安装，不增加额外差额费用。展位服务的用电点大小按照《展会服务需求确认表》进行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tc>
        <w:tc>
          <w:tcPr>
            <w:tcW w:w="87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点</w:t>
            </w:r>
          </w:p>
        </w:tc>
        <w:tc>
          <w:tcPr>
            <w:tcW w:w="1177"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甲方仓库</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如有</w:t>
            </w:r>
            <w:r>
              <w:rPr>
                <w:rFonts w:hint="eastAsia" w:ascii="宋体" w:hAnsi="宋体" w:cs="宋体"/>
                <w:b/>
                <w:bCs/>
                <w:color w:val="000000" w:themeColor="text1"/>
                <w:kern w:val="0"/>
                <w:sz w:val="20"/>
                <w:szCs w:val="20"/>
                <w:highlight w:val="none"/>
                <w:lang w:bidi="ar"/>
                <w14:textFill>
                  <w14:solidFill>
                    <w14:schemeClr w14:val="tx1"/>
                  </w14:solidFill>
                </w14:textFill>
              </w:rPr>
              <w:t>材料</w:t>
            </w:r>
            <w:r>
              <w:rPr>
                <w:rFonts w:hint="eastAsia" w:ascii="宋体" w:hAnsi="宋体" w:cs="宋体"/>
                <w:b/>
                <w:bCs/>
                <w:color w:val="000000" w:themeColor="text1"/>
                <w:kern w:val="0"/>
                <w:sz w:val="20"/>
                <w:szCs w:val="20"/>
                <w:highlight w:val="none"/>
                <w:lang w:eastAsia="zh-CN" w:bidi="ar"/>
                <w14:textFill>
                  <w14:solidFill>
                    <w14:schemeClr w14:val="tx1"/>
                  </w14:solidFill>
                </w14:textFill>
              </w:rPr>
              <w:t>，</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可用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sz w:val="20"/>
                <w:szCs w:val="20"/>
                <w:highlight w:val="none"/>
                <w:lang w:val="en-US" w:eastAsia="zh-CN"/>
                <w14:textFill>
                  <w14:solidFill>
                    <w14:schemeClr w14:val="tx1"/>
                  </w14:solidFill>
                </w14:textFill>
              </w:rPr>
              <w:t>9</w:t>
            </w:r>
          </w:p>
        </w:tc>
        <w:tc>
          <w:tcPr>
            <w:tcW w:w="2435" w:type="dxa"/>
            <w:shd w:val="clear" w:color="FFFFFF" w:fill="FFFFFF"/>
            <w:noWrap w:val="0"/>
            <w:vAlign w:val="center"/>
          </w:tcPr>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200A/380V用电点的配电箱、电缆及配管线槽安装、拆除</w:t>
            </w:r>
          </w:p>
        </w:tc>
        <w:tc>
          <w:tcPr>
            <w:tcW w:w="4093" w:type="dxa"/>
            <w:shd w:val="clear" w:color="FFFFFF" w:fill="FFFFFF"/>
            <w:noWrap w:val="0"/>
            <w:vAlign w:val="center"/>
          </w:tcPr>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1.利用甲方展馆提供的材料(包含水/气管及其辅材、电箱及其配套电缆等)，限期内完成指定展位位置的使用需求服务工作。包括搬运、安装、调试、使用过程安全监控和拆卸等展会全过程工作。</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2.当甲供的某一型号电箱数量不能满足展会需求使用时，甲方可调用甲供的其他类型电箱进行配套安装，不增加额外差额费用。展位服务的用电点大小按照《展会服务需求确认表》进行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tc>
        <w:tc>
          <w:tcPr>
            <w:tcW w:w="87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点</w:t>
            </w:r>
          </w:p>
        </w:tc>
        <w:tc>
          <w:tcPr>
            <w:tcW w:w="1177"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甲方仓库</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如有</w:t>
            </w:r>
            <w:r>
              <w:rPr>
                <w:rFonts w:hint="eastAsia" w:ascii="宋体" w:hAnsi="宋体" w:cs="宋体"/>
                <w:b/>
                <w:bCs/>
                <w:color w:val="000000" w:themeColor="text1"/>
                <w:kern w:val="0"/>
                <w:sz w:val="20"/>
                <w:szCs w:val="20"/>
                <w:highlight w:val="none"/>
                <w:lang w:bidi="ar"/>
                <w14:textFill>
                  <w14:solidFill>
                    <w14:schemeClr w14:val="tx1"/>
                  </w14:solidFill>
                </w14:textFill>
              </w:rPr>
              <w:t>材料</w:t>
            </w:r>
            <w:r>
              <w:rPr>
                <w:rFonts w:hint="eastAsia" w:ascii="宋体" w:hAnsi="宋体" w:cs="宋体"/>
                <w:b/>
                <w:bCs/>
                <w:color w:val="000000" w:themeColor="text1"/>
                <w:kern w:val="0"/>
                <w:sz w:val="20"/>
                <w:szCs w:val="20"/>
                <w:highlight w:val="none"/>
                <w:lang w:eastAsia="zh-CN" w:bidi="ar"/>
                <w14:textFill>
                  <w14:solidFill>
                    <w14:schemeClr w14:val="tx1"/>
                  </w14:solidFill>
                </w14:textFill>
              </w:rPr>
              <w:t>，</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可用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三</w:t>
            </w:r>
          </w:p>
        </w:tc>
        <w:tc>
          <w:tcPr>
            <w:tcW w:w="8575" w:type="dxa"/>
            <w:gridSpan w:val="4"/>
            <w:shd w:val="clear" w:color="FFFFFF" w:fill="FFFFFF"/>
            <w:noWrap w:val="0"/>
            <w:vAlign w:val="center"/>
          </w:tcPr>
          <w:p>
            <w:pPr>
              <w:keepLines/>
              <w:spacing w:line="360" w:lineRule="auto"/>
              <w:jc w:val="left"/>
              <w:rPr>
                <w:rFonts w:hint="eastAsia" w:ascii="宋体" w:hAnsi="宋体" w:eastAsia="宋体" w:cs="宋体"/>
                <w:b/>
                <w:bCs/>
                <w:color w:val="000000" w:themeColor="text1"/>
                <w:sz w:val="18"/>
                <w:szCs w:val="18"/>
                <w:highlight w:val="none"/>
                <w:lang w:eastAsia="zh-CN"/>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乙供水电气材料服务标准</w:t>
            </w:r>
            <w:r>
              <w:rPr>
                <w:rFonts w:hint="eastAsia" w:ascii="宋体" w:hAnsi="宋体" w:cs="宋体"/>
                <w:b/>
                <w:bCs/>
                <w:color w:val="000000" w:themeColor="text1"/>
                <w:kern w:val="0"/>
                <w:sz w:val="20"/>
                <w:szCs w:val="20"/>
                <w:highlight w:val="none"/>
                <w:lang w:eastAsia="zh-CN" w:bidi="ar"/>
                <w14:textFill>
                  <w14:solidFill>
                    <w14:schemeClr w14:val="tx1"/>
                  </w14:solidFill>
                </w14:textFill>
              </w:rPr>
              <w:t>（</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保证满足全场水电气接驳所需材料及辅材、配件</w:t>
            </w:r>
            <w:r>
              <w:rPr>
                <w:rFonts w:hint="eastAsia" w:ascii="宋体" w:hAnsi="宋体" w:cs="宋体"/>
                <w:b/>
                <w:bCs/>
                <w:color w:val="000000" w:themeColor="text1"/>
                <w:kern w:val="0"/>
                <w:sz w:val="20"/>
                <w:szCs w:val="20"/>
                <w:highlight w:val="none"/>
                <w:lang w:eastAsia="zh-CN" w:bidi="ar"/>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textAlignment w:val="center"/>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0</w:t>
            </w:r>
          </w:p>
        </w:tc>
        <w:tc>
          <w:tcPr>
            <w:tcW w:w="2435" w:type="dxa"/>
            <w:shd w:val="clear" w:color="FFFFFF" w:fill="FFFFFF"/>
            <w:noWrap w:val="0"/>
            <w:vAlign w:val="center"/>
          </w:tcPr>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压缩空气阀门、管道等安装、拆除</w:t>
            </w:r>
          </w:p>
        </w:tc>
        <w:tc>
          <w:tcPr>
            <w:tcW w:w="4093" w:type="dxa"/>
            <w:shd w:val="clear" w:color="FFFFFF" w:fill="FFFFFF"/>
            <w:noWrap w:val="0"/>
            <w:vAlign w:val="center"/>
          </w:tcPr>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1.乙方提供材料(包含水/气管及其辅材、电箱及其配套电缆等)，限期内完成指定展位位置的使用需求服务工作。包括搬运、安装、调试、使用过程安全监控和拆卸等展会全过程工作。</w:t>
            </w:r>
          </w:p>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2.展会期间，乙方配合甲方完成相关服务展位的安全监管，对不符合安全要求的问题及时提出整改意见。</w:t>
            </w:r>
          </w:p>
        </w:tc>
        <w:tc>
          <w:tcPr>
            <w:tcW w:w="87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点</w:t>
            </w:r>
          </w:p>
        </w:tc>
        <w:tc>
          <w:tcPr>
            <w:tcW w:w="1177" w:type="dxa"/>
            <w:shd w:val="clear" w:color="FFFFFF" w:fill="FFFFFF"/>
            <w:noWrap w:val="0"/>
            <w:vAlign w:val="center"/>
          </w:tcPr>
          <w:p>
            <w:pPr>
              <w:keepLines/>
              <w:spacing w:line="360" w:lineRule="auto"/>
              <w:jc w:val="both"/>
              <w:textAlignment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可满足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textAlignment w:val="center"/>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1</w:t>
            </w:r>
          </w:p>
        </w:tc>
        <w:tc>
          <w:tcPr>
            <w:tcW w:w="2435" w:type="dxa"/>
            <w:shd w:val="clear" w:color="FFFFFF" w:fill="FFFFFF"/>
            <w:noWrap w:val="0"/>
            <w:vAlign w:val="center"/>
          </w:tcPr>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供水点阀门、管道等安装、拆除</w:t>
            </w:r>
          </w:p>
        </w:tc>
        <w:tc>
          <w:tcPr>
            <w:tcW w:w="4093" w:type="dxa"/>
            <w:shd w:val="clear" w:color="FFFFFF" w:fill="FFFFFF"/>
            <w:noWrap w:val="0"/>
            <w:vAlign w:val="center"/>
          </w:tcPr>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1.乙方提供材料(包含水/气管及其辅材、电箱及其配套电缆等)，限期内完成指定展位位置的使用需求服务工作。包括搬运、安装、调试、使用过程安全监控和拆卸等展会全过程工作。</w:t>
            </w:r>
          </w:p>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2.展会期间，乙方配合甲方完成相关服务展位的安全监管，对不符合安全要求的问题及时提出整改意见。</w:t>
            </w:r>
          </w:p>
        </w:tc>
        <w:tc>
          <w:tcPr>
            <w:tcW w:w="87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点</w:t>
            </w:r>
          </w:p>
        </w:tc>
        <w:tc>
          <w:tcPr>
            <w:tcW w:w="1177" w:type="dxa"/>
            <w:shd w:val="clear" w:color="FFFFFF" w:fill="FFFFFF"/>
            <w:noWrap w:val="0"/>
            <w:vAlign w:val="center"/>
          </w:tcPr>
          <w:p>
            <w:pPr>
              <w:keepLines/>
              <w:spacing w:line="360" w:lineRule="auto"/>
              <w:jc w:val="both"/>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可满足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textAlignment w:val="center"/>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2</w:t>
            </w:r>
          </w:p>
        </w:tc>
        <w:tc>
          <w:tcPr>
            <w:tcW w:w="2435" w:type="dxa"/>
            <w:shd w:val="clear" w:color="FFFFFF" w:fill="FFFFFF"/>
            <w:noWrap w:val="0"/>
            <w:vAlign w:val="center"/>
          </w:tcPr>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eastAsia="zh-CN" w:bidi="ar"/>
                <w14:textFill>
                  <w14:solidFill>
                    <w14:schemeClr w14:val="tx1"/>
                  </w14:solidFill>
                </w14:textFill>
              </w:rPr>
              <w:t>16A/220V</w:t>
            </w:r>
            <w:r>
              <w:rPr>
                <w:rFonts w:hint="eastAsia" w:ascii="宋体" w:hAnsi="宋体" w:cs="宋体"/>
                <w:color w:val="000000" w:themeColor="text1"/>
                <w:kern w:val="0"/>
                <w:sz w:val="20"/>
                <w:szCs w:val="20"/>
                <w:highlight w:val="none"/>
                <w:lang w:bidi="ar"/>
                <w14:textFill>
                  <w14:solidFill>
                    <w14:schemeClr w14:val="tx1"/>
                  </w14:solidFill>
                </w14:textFill>
              </w:rPr>
              <w:t>用电点的电及配管线槽安装、拆除</w:t>
            </w:r>
          </w:p>
        </w:tc>
        <w:tc>
          <w:tcPr>
            <w:tcW w:w="4093" w:type="dxa"/>
            <w:shd w:val="clear" w:color="FFFFFF" w:fill="FFFFFF"/>
            <w:noWrap w:val="0"/>
            <w:vAlign w:val="center"/>
          </w:tcPr>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4.展会结束后，电箱、电缆等主要材料由乙方自行回收。</w:t>
            </w:r>
          </w:p>
        </w:tc>
        <w:tc>
          <w:tcPr>
            <w:tcW w:w="87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m</w:t>
            </w:r>
          </w:p>
        </w:tc>
        <w:tc>
          <w:tcPr>
            <w:tcW w:w="1177" w:type="dxa"/>
            <w:shd w:val="clear" w:color="FFFFFF" w:fill="FFFFFF"/>
            <w:noWrap w:val="0"/>
            <w:vAlign w:val="center"/>
          </w:tcPr>
          <w:p>
            <w:pPr>
              <w:keepLines/>
              <w:spacing w:line="360" w:lineRule="auto"/>
              <w:jc w:val="center"/>
              <w:textAlignment w:val="center"/>
              <w:rPr>
                <w:rFonts w:hint="default" w:ascii="宋体" w:hAnsi="宋体" w:cs="宋体"/>
                <w:color w:val="000000" w:themeColor="text1"/>
                <w:sz w:val="18"/>
                <w:szCs w:val="18"/>
                <w:highlight w:val="none"/>
                <w:lang w:val="en-US"/>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可满足</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1979组电缆（每组10米/20米）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textAlignment w:val="center"/>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13</w:t>
            </w:r>
          </w:p>
        </w:tc>
        <w:tc>
          <w:tcPr>
            <w:tcW w:w="2435" w:type="dxa"/>
            <w:shd w:val="clear" w:color="FFFFFF" w:fill="FFFFFF"/>
            <w:noWrap w:val="0"/>
            <w:vAlign w:val="center"/>
          </w:tcPr>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eastAsia="zh-CN" w:bidi="ar"/>
                <w14:textFill>
                  <w14:solidFill>
                    <w14:schemeClr w14:val="tx1"/>
                  </w14:solidFill>
                </w14:textFill>
              </w:rPr>
              <w:t>16A/220V</w:t>
            </w:r>
            <w:r>
              <w:rPr>
                <w:rFonts w:hint="eastAsia" w:ascii="宋体" w:hAnsi="宋体" w:cs="宋体"/>
                <w:color w:val="000000" w:themeColor="text1"/>
                <w:kern w:val="0"/>
                <w:sz w:val="20"/>
                <w:szCs w:val="20"/>
                <w:highlight w:val="none"/>
                <w:lang w:bidi="ar"/>
                <w14:textFill>
                  <w14:solidFill>
                    <w14:schemeClr w14:val="tx1"/>
                  </w14:solidFill>
                </w14:textFill>
              </w:rPr>
              <w:t>用电点的配电箱安装、拆除</w:t>
            </w:r>
          </w:p>
        </w:tc>
        <w:tc>
          <w:tcPr>
            <w:tcW w:w="4093" w:type="dxa"/>
            <w:shd w:val="clear" w:color="FFFFFF" w:fill="FFFFFF"/>
            <w:noWrap w:val="0"/>
            <w:vAlign w:val="center"/>
          </w:tcPr>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4.展会结束后，电箱、电缆等主要材料由乙方自行回收。</w:t>
            </w:r>
          </w:p>
        </w:tc>
        <w:tc>
          <w:tcPr>
            <w:tcW w:w="87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台</w:t>
            </w:r>
          </w:p>
        </w:tc>
        <w:tc>
          <w:tcPr>
            <w:tcW w:w="1177" w:type="dxa"/>
            <w:shd w:val="clear" w:color="FFFFFF" w:fill="FFFFFF"/>
            <w:noWrap w:val="0"/>
            <w:vAlign w:val="center"/>
          </w:tcPr>
          <w:p>
            <w:pPr>
              <w:keepLines/>
              <w:spacing w:line="360" w:lineRule="auto"/>
              <w:jc w:val="center"/>
              <w:textAlignment w:val="center"/>
              <w:rPr>
                <w:rFonts w:hint="default" w:ascii="宋体" w:hAnsi="宋体" w:cs="宋体"/>
                <w:color w:val="000000" w:themeColor="text1"/>
                <w:sz w:val="18"/>
                <w:szCs w:val="18"/>
                <w:highlight w:val="none"/>
                <w:lang w:val="en-US"/>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可满足</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1979台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textAlignment w:val="center"/>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14</w:t>
            </w:r>
          </w:p>
        </w:tc>
        <w:tc>
          <w:tcPr>
            <w:tcW w:w="2435" w:type="dxa"/>
            <w:shd w:val="clear" w:color="FFFFFF" w:fill="FFFFFF"/>
            <w:noWrap w:val="0"/>
            <w:vAlign w:val="center"/>
          </w:tcPr>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16A/380V用电点的电缆及配管线槽安装、拆除</w:t>
            </w:r>
          </w:p>
        </w:tc>
        <w:tc>
          <w:tcPr>
            <w:tcW w:w="4093" w:type="dxa"/>
            <w:shd w:val="clear" w:color="FFFFFF" w:fill="FFFFFF"/>
            <w:noWrap w:val="0"/>
            <w:vAlign w:val="center"/>
          </w:tcPr>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4.展会结束后，电箱、电缆等主要材料由乙方自行回收。</w:t>
            </w:r>
          </w:p>
        </w:tc>
        <w:tc>
          <w:tcPr>
            <w:tcW w:w="87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m</w:t>
            </w:r>
          </w:p>
        </w:tc>
        <w:tc>
          <w:tcPr>
            <w:tcW w:w="1177" w:type="dxa"/>
            <w:shd w:val="clear" w:color="FFFFFF" w:fill="FFFFFF"/>
            <w:noWrap w:val="0"/>
            <w:vAlign w:val="center"/>
          </w:tcPr>
          <w:p>
            <w:pPr>
              <w:keepLines/>
              <w:spacing w:line="360" w:lineRule="auto"/>
              <w:jc w:val="both"/>
              <w:textAlignment w:val="center"/>
              <w:rPr>
                <w:rFonts w:hint="default" w:ascii="宋体" w:hAnsi="宋体" w:cs="宋体"/>
                <w:color w:val="000000" w:themeColor="text1"/>
                <w:sz w:val="18"/>
                <w:szCs w:val="18"/>
                <w:highlight w:val="none"/>
                <w:lang w:val="en-US"/>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可满足2159组电缆（每组10米/20米）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textAlignment w:val="center"/>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15</w:t>
            </w:r>
          </w:p>
        </w:tc>
        <w:tc>
          <w:tcPr>
            <w:tcW w:w="2435" w:type="dxa"/>
            <w:shd w:val="clear" w:color="FFFFFF" w:fill="FFFFFF"/>
            <w:noWrap w:val="0"/>
            <w:vAlign w:val="center"/>
          </w:tcPr>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16A/380V用电点的配电箱安装、拆除</w:t>
            </w:r>
          </w:p>
        </w:tc>
        <w:tc>
          <w:tcPr>
            <w:tcW w:w="4093" w:type="dxa"/>
            <w:shd w:val="clear" w:color="FFFFFF" w:fill="FFFFFF"/>
            <w:noWrap w:val="0"/>
            <w:vAlign w:val="center"/>
          </w:tcPr>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4.展会结束后，电箱、电缆等主要材料由乙方自行回收。</w:t>
            </w:r>
          </w:p>
        </w:tc>
        <w:tc>
          <w:tcPr>
            <w:tcW w:w="87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台</w:t>
            </w:r>
          </w:p>
        </w:tc>
        <w:tc>
          <w:tcPr>
            <w:tcW w:w="1177" w:type="dxa"/>
            <w:shd w:val="clear" w:color="FFFFFF" w:fill="FFFFFF"/>
            <w:noWrap w:val="0"/>
            <w:vAlign w:val="center"/>
          </w:tcPr>
          <w:p>
            <w:pPr>
              <w:keepLines/>
              <w:spacing w:line="360" w:lineRule="auto"/>
              <w:jc w:val="both"/>
              <w:textAlignment w:val="center"/>
              <w:rPr>
                <w:rFonts w:hint="default" w:ascii="宋体" w:hAnsi="宋体" w:cs="宋体"/>
                <w:color w:val="000000" w:themeColor="text1"/>
                <w:sz w:val="18"/>
                <w:szCs w:val="18"/>
                <w:highlight w:val="none"/>
                <w:lang w:val="en-US"/>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可满足2159台智慧电箱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textAlignment w:val="center"/>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16</w:t>
            </w:r>
          </w:p>
        </w:tc>
        <w:tc>
          <w:tcPr>
            <w:tcW w:w="2435" w:type="dxa"/>
            <w:shd w:val="clear" w:color="FFFFFF" w:fill="FFFFFF"/>
            <w:noWrap w:val="0"/>
            <w:vAlign w:val="center"/>
          </w:tcPr>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32A/380V用电点的电缆及配管线槽安装、拆除</w:t>
            </w:r>
          </w:p>
        </w:tc>
        <w:tc>
          <w:tcPr>
            <w:tcW w:w="4093" w:type="dxa"/>
            <w:shd w:val="clear" w:color="FFFFFF" w:fill="FFFFFF"/>
            <w:noWrap w:val="0"/>
            <w:vAlign w:val="center"/>
          </w:tcPr>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4.展会结束后，电箱、电缆等主要材料由乙方自行回收。</w:t>
            </w:r>
          </w:p>
        </w:tc>
        <w:tc>
          <w:tcPr>
            <w:tcW w:w="87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m</w:t>
            </w:r>
          </w:p>
        </w:tc>
        <w:tc>
          <w:tcPr>
            <w:tcW w:w="1177"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可满足696组电缆（每组10米/20米）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textAlignment w:val="center"/>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17</w:t>
            </w:r>
          </w:p>
        </w:tc>
        <w:tc>
          <w:tcPr>
            <w:tcW w:w="2435" w:type="dxa"/>
            <w:shd w:val="clear" w:color="FFFFFF" w:fill="FFFFFF"/>
            <w:noWrap w:val="0"/>
            <w:vAlign w:val="center"/>
          </w:tcPr>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32A/380V用电点的配电箱安装、拆除</w:t>
            </w:r>
          </w:p>
        </w:tc>
        <w:tc>
          <w:tcPr>
            <w:tcW w:w="4093" w:type="dxa"/>
            <w:shd w:val="clear" w:color="FFFFFF" w:fill="FFFFFF"/>
            <w:noWrap w:val="0"/>
            <w:vAlign w:val="center"/>
          </w:tcPr>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4.展会结束后，电箱、电缆等主要材料由乙方自行回收。</w:t>
            </w:r>
          </w:p>
        </w:tc>
        <w:tc>
          <w:tcPr>
            <w:tcW w:w="87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台</w:t>
            </w:r>
          </w:p>
        </w:tc>
        <w:tc>
          <w:tcPr>
            <w:tcW w:w="1177"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可满足696台智慧电箱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textAlignment w:val="center"/>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18</w:t>
            </w:r>
          </w:p>
        </w:tc>
        <w:tc>
          <w:tcPr>
            <w:tcW w:w="2435" w:type="dxa"/>
            <w:shd w:val="clear" w:color="FFFFFF" w:fill="FFFFFF"/>
            <w:noWrap w:val="0"/>
            <w:vAlign w:val="center"/>
          </w:tcPr>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63A/380V用电点的电缆及配管线槽安装、拆除</w:t>
            </w:r>
          </w:p>
        </w:tc>
        <w:tc>
          <w:tcPr>
            <w:tcW w:w="4093" w:type="dxa"/>
            <w:shd w:val="clear" w:color="FFFFFF" w:fill="FFFFFF"/>
            <w:noWrap w:val="0"/>
            <w:vAlign w:val="center"/>
          </w:tcPr>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4.展会结束后，电箱、电缆等主要材料由乙方自行回收。</w:t>
            </w:r>
          </w:p>
        </w:tc>
        <w:tc>
          <w:tcPr>
            <w:tcW w:w="87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m</w:t>
            </w:r>
          </w:p>
        </w:tc>
        <w:tc>
          <w:tcPr>
            <w:tcW w:w="1177" w:type="dxa"/>
            <w:shd w:val="clear" w:color="FFFFFF" w:fill="FFFFFF"/>
            <w:noWrap w:val="0"/>
            <w:vAlign w:val="center"/>
          </w:tcPr>
          <w:p>
            <w:pPr>
              <w:keepLines/>
              <w:spacing w:line="360" w:lineRule="auto"/>
              <w:jc w:val="both"/>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可满足244组电缆（每组10米/20米）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textAlignment w:val="center"/>
              <w:rPr>
                <w:rFonts w:hint="default"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19</w:t>
            </w:r>
          </w:p>
        </w:tc>
        <w:tc>
          <w:tcPr>
            <w:tcW w:w="2435" w:type="dxa"/>
            <w:shd w:val="clear" w:color="FFFFFF" w:fill="FFFFFF"/>
            <w:noWrap w:val="0"/>
            <w:vAlign w:val="center"/>
          </w:tcPr>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63A/380V用电点的配电箱安装、拆除</w:t>
            </w:r>
          </w:p>
        </w:tc>
        <w:tc>
          <w:tcPr>
            <w:tcW w:w="4093" w:type="dxa"/>
            <w:shd w:val="clear" w:color="FFFFFF" w:fill="FFFFFF"/>
            <w:noWrap w:val="0"/>
            <w:vAlign w:val="center"/>
          </w:tcPr>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4.展会结束后，电箱、电缆等主要材料由乙方自行回收。</w:t>
            </w:r>
          </w:p>
        </w:tc>
        <w:tc>
          <w:tcPr>
            <w:tcW w:w="87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台</w:t>
            </w:r>
          </w:p>
        </w:tc>
        <w:tc>
          <w:tcPr>
            <w:tcW w:w="1177"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可满足244台智慧电箱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textAlignment w:val="center"/>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0</w:t>
            </w:r>
          </w:p>
        </w:tc>
        <w:tc>
          <w:tcPr>
            <w:tcW w:w="2435" w:type="dxa"/>
            <w:shd w:val="clear" w:color="FFFFFF" w:fill="FFFFFF"/>
            <w:noWrap w:val="0"/>
            <w:vAlign w:val="center"/>
          </w:tcPr>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125A/380V用电点的电缆及配管线槽安装、拆除</w:t>
            </w:r>
          </w:p>
        </w:tc>
        <w:tc>
          <w:tcPr>
            <w:tcW w:w="4093" w:type="dxa"/>
            <w:shd w:val="clear" w:color="FFFFFF" w:fill="FFFFFF"/>
            <w:noWrap w:val="0"/>
            <w:vAlign w:val="center"/>
          </w:tcPr>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4.展会结束后，电箱、电缆等主要材料由乙方自行回收。</w:t>
            </w:r>
          </w:p>
        </w:tc>
        <w:tc>
          <w:tcPr>
            <w:tcW w:w="87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m</w:t>
            </w:r>
          </w:p>
        </w:tc>
        <w:tc>
          <w:tcPr>
            <w:tcW w:w="1177"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可满足222组电缆（每组10米/20米）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textAlignment w:val="center"/>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1</w:t>
            </w:r>
          </w:p>
        </w:tc>
        <w:tc>
          <w:tcPr>
            <w:tcW w:w="2435" w:type="dxa"/>
            <w:shd w:val="clear" w:color="FFFFFF" w:fill="FFFFFF"/>
            <w:noWrap w:val="0"/>
            <w:vAlign w:val="center"/>
          </w:tcPr>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125A/380V用电点的配电箱安装、拆除</w:t>
            </w:r>
          </w:p>
        </w:tc>
        <w:tc>
          <w:tcPr>
            <w:tcW w:w="4093" w:type="dxa"/>
            <w:shd w:val="clear" w:color="FFFFFF" w:fill="FFFFFF"/>
            <w:noWrap w:val="0"/>
            <w:vAlign w:val="center"/>
          </w:tcPr>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4.展会结束后，电箱、电缆等主要材料由乙方自行回收。</w:t>
            </w:r>
          </w:p>
        </w:tc>
        <w:tc>
          <w:tcPr>
            <w:tcW w:w="87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台</w:t>
            </w:r>
          </w:p>
        </w:tc>
        <w:tc>
          <w:tcPr>
            <w:tcW w:w="1177"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可满足222台智慧电箱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2</w:t>
            </w:r>
          </w:p>
        </w:tc>
        <w:tc>
          <w:tcPr>
            <w:tcW w:w="2435" w:type="dxa"/>
            <w:shd w:val="clear" w:color="FFFFFF" w:fill="FFFFFF"/>
            <w:noWrap w:val="0"/>
            <w:vAlign w:val="center"/>
          </w:tcPr>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200A/380V用电点的电缆及配管线槽安装、拆除</w:t>
            </w:r>
          </w:p>
        </w:tc>
        <w:tc>
          <w:tcPr>
            <w:tcW w:w="4093" w:type="dxa"/>
            <w:shd w:val="clear" w:color="FFFFFF" w:fill="FFFFFF"/>
            <w:noWrap w:val="0"/>
            <w:vAlign w:val="center"/>
          </w:tcPr>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4.展会结束后，电箱、电缆等主要材料由乙方自行回收。</w:t>
            </w:r>
          </w:p>
        </w:tc>
        <w:tc>
          <w:tcPr>
            <w:tcW w:w="87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m</w:t>
            </w:r>
          </w:p>
        </w:tc>
        <w:tc>
          <w:tcPr>
            <w:tcW w:w="1177"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可满足55组电缆（每组10米/20米）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textAlignment w:val="center"/>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3</w:t>
            </w:r>
          </w:p>
        </w:tc>
        <w:tc>
          <w:tcPr>
            <w:tcW w:w="2435" w:type="dxa"/>
            <w:shd w:val="clear" w:color="FFFFFF" w:fill="FFFFFF"/>
            <w:noWrap w:val="0"/>
            <w:vAlign w:val="center"/>
          </w:tcPr>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200A/380V用电点的配电箱安装、拆除</w:t>
            </w:r>
          </w:p>
        </w:tc>
        <w:tc>
          <w:tcPr>
            <w:tcW w:w="4093" w:type="dxa"/>
            <w:shd w:val="clear" w:color="FFFFFF" w:fill="FFFFFF"/>
            <w:noWrap w:val="0"/>
            <w:vAlign w:val="center"/>
          </w:tcPr>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2.展位服务的用电点大小按照《展会服务需求确认表》进行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pPr>
              <w:keepLines/>
              <w:spacing w:line="360" w:lineRule="auto"/>
              <w:jc w:val="left"/>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4.展会结束后，电箱、电缆等主要材料由乙方自行回收。</w:t>
            </w:r>
          </w:p>
        </w:tc>
        <w:tc>
          <w:tcPr>
            <w:tcW w:w="87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台</w:t>
            </w:r>
          </w:p>
        </w:tc>
        <w:tc>
          <w:tcPr>
            <w:tcW w:w="1177"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可满足55台智慧电箱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textAlignment w:val="center"/>
              <w:rPr>
                <w:rFonts w:hint="default"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24</w:t>
            </w:r>
          </w:p>
        </w:tc>
        <w:tc>
          <w:tcPr>
            <w:tcW w:w="2435" w:type="dxa"/>
            <w:shd w:val="clear" w:color="FFFFFF" w:fill="FFFFFF"/>
            <w:noWrap w:val="0"/>
            <w:vAlign w:val="center"/>
          </w:tcPr>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≦0.17立方米/分钟气管尺寸内径：8mm</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，或</w:t>
            </w: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压力：≥0.6mpa；流量：200L/min</w:t>
            </w:r>
          </w:p>
        </w:tc>
        <w:tc>
          <w:tcPr>
            <w:tcW w:w="4093" w:type="dxa"/>
            <w:shd w:val="clear" w:color="FFFFFF" w:fill="FFFFFF"/>
            <w:noWrap w:val="0"/>
            <w:vAlign w:val="center"/>
          </w:tcPr>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气</w:t>
            </w:r>
            <w:r>
              <w:rPr>
                <w:rFonts w:hint="eastAsia" w:ascii="宋体" w:hAnsi="宋体" w:cs="宋体"/>
                <w:color w:val="000000" w:themeColor="text1"/>
                <w:kern w:val="0"/>
                <w:sz w:val="20"/>
                <w:szCs w:val="20"/>
                <w:highlight w:val="none"/>
                <w:lang w:bidi="ar"/>
                <w14:textFill>
                  <w14:solidFill>
                    <w14:schemeClr w14:val="tx1"/>
                  </w14:solidFill>
                </w14:textFill>
              </w:rPr>
              <w:t>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气</w:t>
            </w:r>
            <w:r>
              <w:rPr>
                <w:rFonts w:hint="eastAsia" w:ascii="宋体" w:hAnsi="宋体" w:cs="宋体"/>
                <w:color w:val="000000" w:themeColor="text1"/>
                <w:kern w:val="0"/>
                <w:sz w:val="20"/>
                <w:szCs w:val="20"/>
                <w:highlight w:val="none"/>
                <w:lang w:bidi="ar"/>
                <w14:textFill>
                  <w14:solidFill>
                    <w14:schemeClr w14:val="tx1"/>
                  </w14:solidFill>
                </w14:textFill>
              </w:rPr>
              <w:t>等主要材料由乙方自行回收。</w:t>
            </w:r>
          </w:p>
        </w:tc>
        <w:tc>
          <w:tcPr>
            <w:tcW w:w="870" w:type="dxa"/>
            <w:shd w:val="clear" w:color="FFFFFF" w:fill="FFFFFF"/>
            <w:noWrap w:val="0"/>
            <w:vAlign w:val="center"/>
          </w:tcPr>
          <w:p>
            <w:pPr>
              <w:keepLines/>
              <w:spacing w:line="360" w:lineRule="auto"/>
              <w:jc w:val="center"/>
              <w:textAlignment w:val="cente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组</w:t>
            </w:r>
          </w:p>
        </w:tc>
        <w:tc>
          <w:tcPr>
            <w:tcW w:w="1177" w:type="dxa"/>
            <w:shd w:val="clear" w:color="FFFFFF" w:fill="FFFFFF"/>
            <w:noWrap w:val="0"/>
            <w:vAlign w:val="center"/>
          </w:tcPr>
          <w:p>
            <w:pPr>
              <w:keepNext w:val="0"/>
              <w:keepLines w:val="0"/>
              <w:widowControl/>
              <w:suppressLineNumbers w:val="0"/>
              <w:jc w:val="center"/>
              <w:textAlignment w:val="center"/>
              <w:rPr>
                <w:rFonts w:hint="default" w:ascii="宋体" w:hAnsi="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可满足8</w:t>
            </w: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0</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组或个别独立供气要求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textAlignment w:val="center"/>
              <w:rPr>
                <w:rFonts w:hint="default"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25</w:t>
            </w:r>
          </w:p>
        </w:tc>
        <w:tc>
          <w:tcPr>
            <w:tcW w:w="2435" w:type="dxa"/>
            <w:shd w:val="clear" w:color="FFFFFF" w:fill="FFFFFF"/>
            <w:noWrap w:val="0"/>
            <w:vAlign w:val="center"/>
          </w:tcPr>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≦0.48立方米/分钟</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，气管尺寸内径：12mm，或压力：≥0.6mpa；流量：400L/min</w:t>
            </w:r>
          </w:p>
        </w:tc>
        <w:tc>
          <w:tcPr>
            <w:tcW w:w="4093" w:type="dxa"/>
            <w:shd w:val="clear" w:color="FFFFFF" w:fill="FFFFFF"/>
            <w:noWrap w:val="0"/>
            <w:vAlign w:val="center"/>
          </w:tcPr>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气</w:t>
            </w:r>
            <w:r>
              <w:rPr>
                <w:rFonts w:hint="eastAsia" w:ascii="宋体" w:hAnsi="宋体" w:cs="宋体"/>
                <w:color w:val="000000" w:themeColor="text1"/>
                <w:kern w:val="0"/>
                <w:sz w:val="20"/>
                <w:szCs w:val="20"/>
                <w:highlight w:val="none"/>
                <w:lang w:bidi="ar"/>
                <w14:textFill>
                  <w14:solidFill>
                    <w14:schemeClr w14:val="tx1"/>
                  </w14:solidFill>
                </w14:textFill>
              </w:rPr>
              <w:t>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气</w:t>
            </w:r>
            <w:r>
              <w:rPr>
                <w:rFonts w:hint="eastAsia" w:ascii="宋体" w:hAnsi="宋体" w:cs="宋体"/>
                <w:color w:val="000000" w:themeColor="text1"/>
                <w:kern w:val="0"/>
                <w:sz w:val="20"/>
                <w:szCs w:val="20"/>
                <w:highlight w:val="none"/>
                <w:lang w:bidi="ar"/>
                <w14:textFill>
                  <w14:solidFill>
                    <w14:schemeClr w14:val="tx1"/>
                  </w14:solidFill>
                </w14:textFill>
              </w:rPr>
              <w:t>等主要材料由乙方自行回收。</w:t>
            </w:r>
          </w:p>
        </w:tc>
        <w:tc>
          <w:tcPr>
            <w:tcW w:w="87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kern w:val="0"/>
                <w:sz w:val="20"/>
                <w:szCs w:val="20"/>
                <w:highlight w:val="none"/>
                <w:lang w:bidi="ar"/>
                <w14:textFill>
                  <w14:solidFill>
                    <w14:schemeClr w14:val="tx1"/>
                  </w14:solidFill>
                </w14:textFill>
              </w:rPr>
            </w:pPr>
          </w:p>
        </w:tc>
        <w:tc>
          <w:tcPr>
            <w:tcW w:w="1177" w:type="dxa"/>
            <w:shd w:val="clear" w:color="FFFFFF" w:fill="FFFFFF"/>
            <w:noWrap w:val="0"/>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可满足5</w:t>
            </w: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0</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或个别独立供气要求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textAlignment w:val="center"/>
              <w:rPr>
                <w:rFonts w:hint="default"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26</w:t>
            </w:r>
          </w:p>
        </w:tc>
        <w:tc>
          <w:tcPr>
            <w:tcW w:w="2435" w:type="dxa"/>
            <w:shd w:val="clear" w:color="FFFFFF" w:fill="FFFFFF"/>
            <w:noWrap w:val="0"/>
            <w:vAlign w:val="center"/>
          </w:tcPr>
          <w:p>
            <w:pPr>
              <w:keepNext w:val="0"/>
              <w:keepLines w:val="0"/>
              <w:widowControl/>
              <w:suppressLineNumbers w:val="0"/>
              <w:jc w:val="left"/>
              <w:textAlignment w:val="cente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≦0.71立方米/分钟</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，气管尺寸内径：16mm</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或压力：≥0.6mpa；流量：800L/min</w:t>
            </w:r>
          </w:p>
        </w:tc>
        <w:tc>
          <w:tcPr>
            <w:tcW w:w="4093" w:type="dxa"/>
            <w:shd w:val="clear" w:color="FFFFFF" w:fill="FFFFFF"/>
            <w:noWrap w:val="0"/>
            <w:vAlign w:val="center"/>
          </w:tcPr>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气</w:t>
            </w:r>
            <w:r>
              <w:rPr>
                <w:rFonts w:hint="eastAsia" w:ascii="宋体" w:hAnsi="宋体" w:cs="宋体"/>
                <w:color w:val="000000" w:themeColor="text1"/>
                <w:kern w:val="0"/>
                <w:sz w:val="20"/>
                <w:szCs w:val="20"/>
                <w:highlight w:val="none"/>
                <w:lang w:bidi="ar"/>
                <w14:textFill>
                  <w14:solidFill>
                    <w14:schemeClr w14:val="tx1"/>
                  </w14:solidFill>
                </w14:textFill>
              </w:rPr>
              <w:t>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气</w:t>
            </w:r>
            <w:r>
              <w:rPr>
                <w:rFonts w:hint="eastAsia" w:ascii="宋体" w:hAnsi="宋体" w:cs="宋体"/>
                <w:color w:val="000000" w:themeColor="text1"/>
                <w:kern w:val="0"/>
                <w:sz w:val="20"/>
                <w:szCs w:val="20"/>
                <w:highlight w:val="none"/>
                <w:lang w:bidi="ar"/>
                <w14:textFill>
                  <w14:solidFill>
                    <w14:schemeClr w14:val="tx1"/>
                  </w14:solidFill>
                </w14:textFill>
              </w:rPr>
              <w:t>等主要材料由乙方自行回收。</w:t>
            </w:r>
          </w:p>
        </w:tc>
        <w:tc>
          <w:tcPr>
            <w:tcW w:w="87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kern w:val="0"/>
                <w:sz w:val="20"/>
                <w:szCs w:val="20"/>
                <w:highlight w:val="none"/>
                <w:lang w:bidi="ar"/>
                <w14:textFill>
                  <w14:solidFill>
                    <w14:schemeClr w14:val="tx1"/>
                  </w14:solidFill>
                </w14:textFill>
              </w:rPr>
            </w:pPr>
          </w:p>
        </w:tc>
        <w:tc>
          <w:tcPr>
            <w:tcW w:w="1177" w:type="dxa"/>
            <w:shd w:val="clear" w:color="FFFFFF" w:fill="FFFFFF"/>
            <w:noWrap w:val="0"/>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可满足50或个别独立供气要求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textAlignment w:val="center"/>
              <w:rPr>
                <w:rFonts w:hint="default"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27</w:t>
            </w:r>
          </w:p>
        </w:tc>
        <w:tc>
          <w:tcPr>
            <w:tcW w:w="2435" w:type="dxa"/>
            <w:shd w:val="clear" w:color="FFFFFF" w:fill="FFFFFF"/>
            <w:noWrap w:val="0"/>
            <w:vAlign w:val="center"/>
          </w:tcPr>
          <w:p>
            <w:pPr>
              <w:keepNext w:val="0"/>
              <w:keepLines w:val="0"/>
              <w:widowControl/>
              <w:suppressLineNumbers w:val="0"/>
              <w:jc w:val="left"/>
              <w:textAlignment w:val="cente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≦0.9立方米/分钟</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，气管尺寸内径：18mm</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或压力：≥0.6mpa</w:t>
            </w:r>
          </w:p>
        </w:tc>
        <w:tc>
          <w:tcPr>
            <w:tcW w:w="4093" w:type="dxa"/>
            <w:shd w:val="clear" w:color="FFFFFF" w:fill="FFFFFF"/>
            <w:noWrap w:val="0"/>
            <w:vAlign w:val="center"/>
          </w:tcPr>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气</w:t>
            </w:r>
            <w:r>
              <w:rPr>
                <w:rFonts w:hint="eastAsia" w:ascii="宋体" w:hAnsi="宋体" w:cs="宋体"/>
                <w:color w:val="000000" w:themeColor="text1"/>
                <w:kern w:val="0"/>
                <w:sz w:val="20"/>
                <w:szCs w:val="20"/>
                <w:highlight w:val="none"/>
                <w:lang w:bidi="ar"/>
                <w14:textFill>
                  <w14:solidFill>
                    <w14:schemeClr w14:val="tx1"/>
                  </w14:solidFill>
                </w14:textFill>
              </w:rPr>
              <w:t>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气</w:t>
            </w:r>
            <w:r>
              <w:rPr>
                <w:rFonts w:hint="eastAsia" w:ascii="宋体" w:hAnsi="宋体" w:cs="宋体"/>
                <w:color w:val="000000" w:themeColor="text1"/>
                <w:kern w:val="0"/>
                <w:sz w:val="20"/>
                <w:szCs w:val="20"/>
                <w:highlight w:val="none"/>
                <w:lang w:bidi="ar"/>
                <w14:textFill>
                  <w14:solidFill>
                    <w14:schemeClr w14:val="tx1"/>
                  </w14:solidFill>
                </w14:textFill>
              </w:rPr>
              <w:t>等主要材料由乙方自行回收。</w:t>
            </w:r>
          </w:p>
        </w:tc>
        <w:tc>
          <w:tcPr>
            <w:tcW w:w="87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kern w:val="0"/>
                <w:sz w:val="20"/>
                <w:szCs w:val="20"/>
                <w:highlight w:val="none"/>
                <w:lang w:bidi="ar"/>
                <w14:textFill>
                  <w14:solidFill>
                    <w14:schemeClr w14:val="tx1"/>
                  </w14:solidFill>
                </w14:textFill>
              </w:rPr>
            </w:pPr>
          </w:p>
        </w:tc>
        <w:tc>
          <w:tcPr>
            <w:tcW w:w="1177" w:type="dxa"/>
            <w:shd w:val="clear" w:color="FFFFFF" w:fill="FFFFFF"/>
            <w:noWrap w:val="0"/>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i w:val="0"/>
                <w:color w:val="000000" w:themeColor="text1"/>
                <w:sz w:val="20"/>
                <w:szCs w:val="20"/>
                <w:highlight w:val="none"/>
                <w:u w:val="none"/>
                <w:lang w:val="en-US" w:eastAsia="zh-CN"/>
                <w14:textFill>
                  <w14:solidFill>
                    <w14:schemeClr w14:val="tx1"/>
                  </w14:solidFill>
                </w14:textFill>
              </w:rPr>
              <w:t>可满足10</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或个别独立供气要求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textAlignment w:val="center"/>
              <w:rPr>
                <w:rFonts w:hint="default"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28</w:t>
            </w:r>
          </w:p>
        </w:tc>
        <w:tc>
          <w:tcPr>
            <w:tcW w:w="2435" w:type="dxa"/>
            <w:shd w:val="clear" w:color="FFFFFF" w:fill="FFFFFF"/>
            <w:noWrap w:val="0"/>
            <w:vAlign w:val="center"/>
          </w:tcPr>
          <w:p>
            <w:pPr>
              <w:keepNext w:val="0"/>
              <w:keepLines w:val="0"/>
              <w:widowControl/>
              <w:suppressLineNumbers w:val="0"/>
              <w:jc w:val="left"/>
              <w:textAlignment w:val="cente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≧1.0立方米/分钟</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，气管尺寸内径：22mm</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或压力：≥0.6mpa</w:t>
            </w:r>
          </w:p>
        </w:tc>
        <w:tc>
          <w:tcPr>
            <w:tcW w:w="4093" w:type="dxa"/>
            <w:shd w:val="clear" w:color="FFFFFF" w:fill="FFFFFF"/>
            <w:noWrap w:val="0"/>
            <w:vAlign w:val="center"/>
          </w:tcPr>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气</w:t>
            </w:r>
            <w:r>
              <w:rPr>
                <w:rFonts w:hint="eastAsia" w:ascii="宋体" w:hAnsi="宋体" w:cs="宋体"/>
                <w:color w:val="000000" w:themeColor="text1"/>
                <w:kern w:val="0"/>
                <w:sz w:val="20"/>
                <w:szCs w:val="20"/>
                <w:highlight w:val="none"/>
                <w:lang w:bidi="ar"/>
                <w14:textFill>
                  <w14:solidFill>
                    <w14:schemeClr w14:val="tx1"/>
                  </w14:solidFill>
                </w14:textFill>
              </w:rPr>
              <w:t>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气</w:t>
            </w:r>
            <w:r>
              <w:rPr>
                <w:rFonts w:hint="eastAsia" w:ascii="宋体" w:hAnsi="宋体" w:cs="宋体"/>
                <w:color w:val="000000" w:themeColor="text1"/>
                <w:kern w:val="0"/>
                <w:sz w:val="20"/>
                <w:szCs w:val="20"/>
                <w:highlight w:val="none"/>
                <w:lang w:bidi="ar"/>
                <w14:textFill>
                  <w14:solidFill>
                    <w14:schemeClr w14:val="tx1"/>
                  </w14:solidFill>
                </w14:textFill>
              </w:rPr>
              <w:t>等主要材料由乙方自行回收。</w:t>
            </w:r>
          </w:p>
        </w:tc>
        <w:tc>
          <w:tcPr>
            <w:tcW w:w="870" w:type="dxa"/>
            <w:shd w:val="clear" w:color="FFFFFF" w:fill="FFFFFF"/>
            <w:noWrap w:val="0"/>
            <w:vAlign w:val="center"/>
          </w:tcPr>
          <w:p>
            <w:pPr>
              <w:keepLines/>
              <w:spacing w:line="360" w:lineRule="auto"/>
              <w:jc w:val="center"/>
              <w:textAlignment w:val="center"/>
              <w:rPr>
                <w:rFonts w:hint="eastAsia" w:ascii="宋体" w:hAnsi="宋体" w:cs="宋体"/>
                <w:color w:val="000000" w:themeColor="text1"/>
                <w:kern w:val="0"/>
                <w:sz w:val="20"/>
                <w:szCs w:val="20"/>
                <w:highlight w:val="none"/>
                <w:lang w:bidi="ar"/>
                <w14:textFill>
                  <w14:solidFill>
                    <w14:schemeClr w14:val="tx1"/>
                  </w14:solidFill>
                </w14:textFill>
              </w:rPr>
            </w:pPr>
          </w:p>
        </w:tc>
        <w:tc>
          <w:tcPr>
            <w:tcW w:w="1177" w:type="dxa"/>
            <w:shd w:val="clear" w:color="FFFFFF" w:fill="FFFFFF"/>
            <w:noWrap w:val="0"/>
            <w:vAlign w:val="center"/>
          </w:tcPr>
          <w:p>
            <w:pPr>
              <w:keepNext w:val="0"/>
              <w:keepLines w:val="0"/>
              <w:widowControl/>
              <w:suppressLineNumbers w:val="0"/>
              <w:jc w:val="center"/>
              <w:textAlignment w:val="cente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可满足1</w:t>
            </w: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0</w:t>
            </w: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或个别独立供气要求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textAlignment w:val="center"/>
              <w:rPr>
                <w:rFonts w:hint="default"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29</w:t>
            </w:r>
          </w:p>
        </w:tc>
        <w:tc>
          <w:tcPr>
            <w:tcW w:w="2435" w:type="dxa"/>
            <w:shd w:val="clear" w:color="FFFFFF" w:fill="FFFFFF"/>
            <w:noWrap w:val="0"/>
            <w:vAlign w:val="center"/>
          </w:tcPr>
          <w:p>
            <w:pPr>
              <w:keepLines/>
              <w:spacing w:line="360" w:lineRule="auto"/>
              <w:jc w:val="left"/>
              <w:textAlignment w:val="cente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给排水（给水16毫米，排水50毫米）</w:t>
            </w:r>
          </w:p>
        </w:tc>
        <w:tc>
          <w:tcPr>
            <w:tcW w:w="4093" w:type="dxa"/>
            <w:shd w:val="clear" w:color="FFFFFF" w:fill="FFFFFF"/>
            <w:noWrap w:val="0"/>
            <w:vAlign w:val="center"/>
          </w:tcPr>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水</w:t>
            </w:r>
            <w:r>
              <w:rPr>
                <w:rFonts w:hint="eastAsia" w:ascii="宋体" w:hAnsi="宋体" w:cs="宋体"/>
                <w:color w:val="000000" w:themeColor="text1"/>
                <w:kern w:val="0"/>
                <w:sz w:val="20"/>
                <w:szCs w:val="20"/>
                <w:highlight w:val="none"/>
                <w:lang w:bidi="ar"/>
                <w14:textFill>
                  <w14:solidFill>
                    <w14:schemeClr w14:val="tx1"/>
                  </w14:solidFill>
                </w14:textFill>
              </w:rPr>
              <w:t>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水</w:t>
            </w:r>
            <w:r>
              <w:rPr>
                <w:rFonts w:hint="eastAsia" w:ascii="宋体" w:hAnsi="宋体" w:cs="宋体"/>
                <w:color w:val="000000" w:themeColor="text1"/>
                <w:kern w:val="0"/>
                <w:sz w:val="20"/>
                <w:szCs w:val="20"/>
                <w:highlight w:val="none"/>
                <w:lang w:bidi="ar"/>
                <w14:textFill>
                  <w14:solidFill>
                    <w14:schemeClr w14:val="tx1"/>
                  </w14:solidFill>
                </w14:textFill>
              </w:rPr>
              <w:t>等主要材料由乙方自行回收。</w:t>
            </w:r>
          </w:p>
        </w:tc>
        <w:tc>
          <w:tcPr>
            <w:tcW w:w="870" w:type="dxa"/>
            <w:shd w:val="clear" w:color="FFFFFF" w:fill="FFFFFF"/>
            <w:noWrap w:val="0"/>
            <w:vAlign w:val="center"/>
          </w:tcPr>
          <w:p>
            <w:pPr>
              <w:keepLines/>
              <w:spacing w:line="360" w:lineRule="auto"/>
              <w:jc w:val="center"/>
              <w:textAlignment w:val="cente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5</w:t>
            </w:r>
          </w:p>
        </w:tc>
        <w:tc>
          <w:tcPr>
            <w:tcW w:w="1177" w:type="dxa"/>
            <w:shd w:val="clear" w:color="FFFFFF" w:fill="FFFFFF"/>
            <w:noWrap w:val="0"/>
            <w:vAlign w:val="center"/>
          </w:tcPr>
          <w:p>
            <w:pPr>
              <w:keepLines/>
              <w:spacing w:line="360" w:lineRule="auto"/>
              <w:jc w:val="center"/>
              <w:textAlignment w:val="center"/>
              <w:rPr>
                <w:rFonts w:hint="default" w:ascii="宋体" w:hAnsi="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textAlignment w:val="center"/>
              <w:rPr>
                <w:rFonts w:hint="default"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30</w:t>
            </w:r>
          </w:p>
        </w:tc>
        <w:tc>
          <w:tcPr>
            <w:tcW w:w="2435" w:type="dxa"/>
            <w:shd w:val="clear" w:color="FFFFFF" w:fill="FFFFFF"/>
            <w:noWrap w:val="0"/>
            <w:vAlign w:val="center"/>
          </w:tcPr>
          <w:p>
            <w:pPr>
              <w:keepLines/>
              <w:spacing w:line="360" w:lineRule="auto"/>
              <w:jc w:val="left"/>
              <w:textAlignment w:val="cente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给排水（给水19毫米，排水50毫米）</w:t>
            </w:r>
          </w:p>
        </w:tc>
        <w:tc>
          <w:tcPr>
            <w:tcW w:w="4093" w:type="dxa"/>
            <w:shd w:val="clear" w:color="FFFFFF" w:fill="FFFFFF"/>
            <w:noWrap w:val="0"/>
            <w:vAlign w:val="center"/>
          </w:tcPr>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水</w:t>
            </w:r>
            <w:r>
              <w:rPr>
                <w:rFonts w:hint="eastAsia" w:ascii="宋体" w:hAnsi="宋体" w:cs="宋体"/>
                <w:color w:val="000000" w:themeColor="text1"/>
                <w:kern w:val="0"/>
                <w:sz w:val="20"/>
                <w:szCs w:val="20"/>
                <w:highlight w:val="none"/>
                <w:lang w:bidi="ar"/>
                <w14:textFill>
                  <w14:solidFill>
                    <w14:schemeClr w14:val="tx1"/>
                  </w14:solidFill>
                </w14:textFill>
              </w:rPr>
              <w:t>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水</w:t>
            </w:r>
            <w:r>
              <w:rPr>
                <w:rFonts w:hint="eastAsia" w:ascii="宋体" w:hAnsi="宋体" w:cs="宋体"/>
                <w:color w:val="000000" w:themeColor="text1"/>
                <w:kern w:val="0"/>
                <w:sz w:val="20"/>
                <w:szCs w:val="20"/>
                <w:highlight w:val="none"/>
                <w:lang w:bidi="ar"/>
                <w14:textFill>
                  <w14:solidFill>
                    <w14:schemeClr w14:val="tx1"/>
                  </w14:solidFill>
                </w14:textFill>
              </w:rPr>
              <w:t>等主要材料由乙方自行回收。</w:t>
            </w:r>
          </w:p>
        </w:tc>
        <w:tc>
          <w:tcPr>
            <w:tcW w:w="870" w:type="dxa"/>
            <w:shd w:val="clear" w:color="FFFFFF" w:fill="FFFFFF"/>
            <w:noWrap w:val="0"/>
            <w:vAlign w:val="center"/>
          </w:tcPr>
          <w:p>
            <w:pPr>
              <w:keepLines/>
              <w:spacing w:line="360" w:lineRule="auto"/>
              <w:jc w:val="center"/>
              <w:textAlignment w:val="cente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5</w:t>
            </w:r>
          </w:p>
        </w:tc>
        <w:tc>
          <w:tcPr>
            <w:tcW w:w="1177" w:type="dxa"/>
            <w:shd w:val="clear" w:color="FFFFFF" w:fill="FFFFFF"/>
            <w:noWrap w:val="0"/>
            <w:vAlign w:val="center"/>
          </w:tcPr>
          <w:p>
            <w:pPr>
              <w:keepLines/>
              <w:spacing w:line="360" w:lineRule="auto"/>
              <w:jc w:val="center"/>
              <w:textAlignment w:val="cente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50" w:type="dxa"/>
            <w:shd w:val="clear" w:color="FFFFFF" w:fill="FFFFFF"/>
            <w:noWrap w:val="0"/>
            <w:vAlign w:val="center"/>
          </w:tcPr>
          <w:p>
            <w:pPr>
              <w:keepLines/>
              <w:spacing w:line="360" w:lineRule="auto"/>
              <w:jc w:val="center"/>
              <w:textAlignment w:val="center"/>
              <w:rPr>
                <w:rFonts w:hint="default"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31</w:t>
            </w:r>
          </w:p>
        </w:tc>
        <w:tc>
          <w:tcPr>
            <w:tcW w:w="2435" w:type="dxa"/>
            <w:shd w:val="clear" w:color="FFFFFF" w:fill="FFFFFF"/>
            <w:noWrap w:val="0"/>
            <w:vAlign w:val="center"/>
          </w:tcPr>
          <w:p>
            <w:pPr>
              <w:keepLines/>
              <w:spacing w:line="360" w:lineRule="auto"/>
              <w:jc w:val="left"/>
              <w:textAlignment w:val="cente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给排水（给水25毫米，排水50毫米）</w:t>
            </w:r>
          </w:p>
        </w:tc>
        <w:tc>
          <w:tcPr>
            <w:tcW w:w="4093" w:type="dxa"/>
            <w:shd w:val="clear" w:color="FFFFFF" w:fill="FFFFFF"/>
            <w:noWrap w:val="0"/>
            <w:vAlign w:val="center"/>
          </w:tcPr>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1.乙方提供材料，限期内完成指定展位位置的使用需求服务工作。包括搬运、安装、调试、使用过程安全监控和拆卸等展会全过程工作。</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2.展位服务的用</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水</w:t>
            </w:r>
            <w:r>
              <w:rPr>
                <w:rFonts w:hint="eastAsia" w:ascii="宋体" w:hAnsi="宋体" w:cs="宋体"/>
                <w:color w:val="000000" w:themeColor="text1"/>
                <w:kern w:val="0"/>
                <w:sz w:val="20"/>
                <w:szCs w:val="20"/>
                <w:highlight w:val="none"/>
                <w:lang w:bidi="ar"/>
                <w14:textFill>
                  <w14:solidFill>
                    <w14:schemeClr w14:val="tx1"/>
                  </w14:solidFill>
                </w14:textFill>
              </w:rPr>
              <w:t>点大小按照《展会服务需求确认表》进行</w:t>
            </w:r>
            <w:r>
              <w:rPr>
                <w:rFonts w:hint="eastAsia" w:ascii="宋体" w:hAnsi="宋体" w:cs="宋体"/>
                <w:color w:val="000000" w:themeColor="text1"/>
                <w:kern w:val="0"/>
                <w:sz w:val="20"/>
                <w:szCs w:val="20"/>
                <w:highlight w:val="none"/>
                <w:lang w:eastAsia="zh-CN" w:bidi="ar"/>
                <w14:textFill>
                  <w14:solidFill>
                    <w14:schemeClr w14:val="tx1"/>
                  </w14:solidFill>
                </w14:textFill>
              </w:rPr>
              <w:t>统计施工</w:t>
            </w:r>
            <w:r>
              <w:rPr>
                <w:rFonts w:hint="eastAsia" w:ascii="宋体" w:hAnsi="宋体" w:cs="宋体"/>
                <w:color w:val="000000" w:themeColor="text1"/>
                <w:kern w:val="0"/>
                <w:sz w:val="20"/>
                <w:szCs w:val="20"/>
                <w:highlight w:val="none"/>
                <w:lang w:bidi="ar"/>
                <w14:textFill>
                  <w14:solidFill>
                    <w14:schemeClr w14:val="tx1"/>
                  </w14:solidFill>
                </w14:textFill>
              </w:rPr>
              <w:t>。</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3.展会期间，乙方配合甲方完成相关服务展位的安全监管，对不符合安全要求的问题及时提出整改意见。</w:t>
            </w:r>
          </w:p>
          <w:p>
            <w:pPr>
              <w:keepLines/>
              <w:spacing w:line="360" w:lineRule="auto"/>
              <w:jc w:val="left"/>
              <w:textAlignment w:val="center"/>
              <w:rPr>
                <w:rFonts w:hint="eastAsia"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4.展会结束后，</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水</w:t>
            </w:r>
            <w:r>
              <w:rPr>
                <w:rFonts w:hint="eastAsia" w:ascii="宋体" w:hAnsi="宋体" w:cs="宋体"/>
                <w:color w:val="000000" w:themeColor="text1"/>
                <w:kern w:val="0"/>
                <w:sz w:val="20"/>
                <w:szCs w:val="20"/>
                <w:highlight w:val="none"/>
                <w:lang w:bidi="ar"/>
                <w14:textFill>
                  <w14:solidFill>
                    <w14:schemeClr w14:val="tx1"/>
                  </w14:solidFill>
                </w14:textFill>
              </w:rPr>
              <w:t>等主要材料由乙方自行回收。</w:t>
            </w:r>
          </w:p>
        </w:tc>
        <w:tc>
          <w:tcPr>
            <w:tcW w:w="870" w:type="dxa"/>
            <w:shd w:val="clear" w:color="FFFFFF" w:fill="FFFFFF"/>
            <w:noWrap w:val="0"/>
            <w:vAlign w:val="center"/>
          </w:tcPr>
          <w:p>
            <w:pPr>
              <w:keepLines/>
              <w:spacing w:line="360" w:lineRule="auto"/>
              <w:jc w:val="center"/>
              <w:textAlignment w:val="cente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cs="宋体"/>
                <w:color w:val="000000" w:themeColor="text1"/>
                <w:kern w:val="0"/>
                <w:sz w:val="20"/>
                <w:szCs w:val="20"/>
                <w:highlight w:val="none"/>
                <w:lang w:val="en-US" w:eastAsia="zh-CN" w:bidi="ar"/>
                <w14:textFill>
                  <w14:solidFill>
                    <w14:schemeClr w14:val="tx1"/>
                  </w14:solidFill>
                </w14:textFill>
              </w:rPr>
              <w:t>6</w:t>
            </w:r>
          </w:p>
        </w:tc>
        <w:tc>
          <w:tcPr>
            <w:tcW w:w="1177" w:type="dxa"/>
            <w:shd w:val="clear" w:color="FFFFFF" w:fill="FFFFFF"/>
            <w:noWrap w:val="0"/>
            <w:vAlign w:val="center"/>
          </w:tcPr>
          <w:p>
            <w:pPr>
              <w:keepLines/>
              <w:spacing w:line="360" w:lineRule="auto"/>
              <w:jc w:val="center"/>
              <w:textAlignment w:val="cente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highlight w:val="none"/>
                <w:u w:val="none"/>
                <w:lang w:val="en-US" w:eastAsia="zh-CN" w:bidi="ar"/>
                <w14:textFill>
                  <w14:solidFill>
                    <w14:schemeClr w14:val="tx1"/>
                  </w14:solidFill>
                </w14:textFill>
              </w:rPr>
              <w:t>可满足</w:t>
            </w:r>
          </w:p>
        </w:tc>
      </w:tr>
    </w:tbl>
    <w:p>
      <w:pPr>
        <w:numPr>
          <w:ilvl w:val="0"/>
          <w:numId w:val="0"/>
        </w:numPr>
        <w:adjustRightInd w:val="0"/>
        <w:snapToGrid w:val="0"/>
        <w:spacing w:line="360" w:lineRule="auto"/>
        <w:ind w:leftChars="0"/>
        <w:rPr>
          <w:color w:val="000000" w:themeColor="text1"/>
          <w:sz w:val="24"/>
          <w:highlight w:val="none"/>
          <w14:textFill>
            <w14:solidFill>
              <w14:schemeClr w14:val="tx1"/>
            </w14:solidFill>
          </w14:textFill>
        </w:rPr>
      </w:pPr>
    </w:p>
    <w:p>
      <w:pPr>
        <w:numPr>
          <w:ilvl w:val="0"/>
          <w:numId w:val="5"/>
        </w:numPr>
        <w:adjustRightInd w:val="0"/>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项目清单中未明确收费标准的且需由乙方供应的材料，由甲乙双方另行协商</w:t>
      </w:r>
      <w:r>
        <w:rPr>
          <w:rFonts w:hint="eastAsia"/>
          <w:color w:val="000000" w:themeColor="text1"/>
          <w:sz w:val="24"/>
          <w:highlight w:val="none"/>
          <w14:textFill>
            <w14:solidFill>
              <w14:schemeClr w14:val="tx1"/>
            </w14:solidFill>
          </w14:textFill>
        </w:rPr>
        <w:t>确</w:t>
      </w:r>
      <w:r>
        <w:rPr>
          <w:color w:val="000000" w:themeColor="text1"/>
          <w:sz w:val="24"/>
          <w:highlight w:val="none"/>
          <w14:textFill>
            <w14:solidFill>
              <w14:schemeClr w14:val="tx1"/>
            </w14:solidFill>
          </w14:textFill>
        </w:rPr>
        <w:t>定</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但不另行增加费用</w:t>
      </w:r>
      <w:r>
        <w:rPr>
          <w:color w:val="000000" w:themeColor="text1"/>
          <w:sz w:val="24"/>
          <w:highlight w:val="none"/>
          <w14:textFill>
            <w14:solidFill>
              <w14:schemeClr w14:val="tx1"/>
            </w14:solidFill>
          </w14:textFill>
        </w:rPr>
        <w:t>。</w:t>
      </w:r>
    </w:p>
    <w:p>
      <w:pPr>
        <w:numPr>
          <w:ilvl w:val="0"/>
          <w:numId w:val="5"/>
        </w:numPr>
        <w:adjustRightInd w:val="0"/>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在展会/活动期间，如甲方提出对已安装</w:t>
      </w:r>
      <w:r>
        <w:rPr>
          <w:rFonts w:hint="eastAsia"/>
          <w:color w:val="000000" w:themeColor="text1"/>
          <w:sz w:val="24"/>
          <w:highlight w:val="none"/>
          <w14:textFill>
            <w14:solidFill>
              <w14:schemeClr w14:val="tx1"/>
            </w14:solidFill>
          </w14:textFill>
        </w:rPr>
        <w:t>项目（包括但不限于</w:t>
      </w:r>
      <w:r>
        <w:rPr>
          <w:color w:val="000000" w:themeColor="text1"/>
          <w:sz w:val="24"/>
          <w:highlight w:val="none"/>
          <w14:textFill>
            <w14:solidFill>
              <w14:schemeClr w14:val="tx1"/>
            </w14:solidFill>
          </w14:textFill>
        </w:rPr>
        <w:t>水、电、气</w:t>
      </w:r>
      <w:r>
        <w:rPr>
          <w:rFonts w:hint="eastAsia"/>
          <w:color w:val="000000" w:themeColor="text1"/>
          <w:sz w:val="24"/>
          <w:highlight w:val="none"/>
          <w14:textFill>
            <w14:solidFill>
              <w14:schemeClr w14:val="tx1"/>
            </w14:solidFill>
          </w14:textFill>
        </w:rPr>
        <w:t>等）的</w:t>
      </w:r>
      <w:r>
        <w:rPr>
          <w:color w:val="000000" w:themeColor="text1"/>
          <w:sz w:val="24"/>
          <w:highlight w:val="none"/>
          <w14:textFill>
            <w14:solidFill>
              <w14:schemeClr w14:val="tx1"/>
            </w14:solidFill>
          </w14:textFill>
        </w:rPr>
        <w:t>位置</w:t>
      </w:r>
      <w:r>
        <w:rPr>
          <w:rFonts w:hint="eastAsia"/>
          <w:color w:val="000000" w:themeColor="text1"/>
          <w:sz w:val="24"/>
          <w:highlight w:val="none"/>
          <w14:textFill>
            <w14:solidFill>
              <w14:schemeClr w14:val="tx1"/>
            </w14:solidFill>
          </w14:textFill>
        </w:rPr>
        <w:t>调整</w:t>
      </w:r>
      <w:r>
        <w:rPr>
          <w:color w:val="000000" w:themeColor="text1"/>
          <w:sz w:val="24"/>
          <w:highlight w:val="none"/>
          <w14:textFill>
            <w14:solidFill>
              <w14:schemeClr w14:val="tx1"/>
            </w14:solidFill>
          </w14:textFill>
        </w:rPr>
        <w:t>需求，乙方需无偿</w:t>
      </w:r>
      <w:r>
        <w:rPr>
          <w:rFonts w:hint="eastAsia"/>
          <w:color w:val="000000" w:themeColor="text1"/>
          <w:sz w:val="24"/>
          <w:highlight w:val="none"/>
          <w14:textFill>
            <w14:solidFill>
              <w14:schemeClr w14:val="tx1"/>
            </w14:solidFill>
          </w14:textFill>
        </w:rPr>
        <w:t>接受</w:t>
      </w:r>
      <w:r>
        <w:rPr>
          <w:color w:val="000000" w:themeColor="text1"/>
          <w:sz w:val="24"/>
          <w:highlight w:val="none"/>
          <w14:textFill>
            <w14:solidFill>
              <w14:schemeClr w14:val="tx1"/>
            </w14:solidFill>
          </w14:textFill>
        </w:rPr>
        <w:t>并按时按质按量完成</w:t>
      </w:r>
      <w:r>
        <w:rPr>
          <w:rFonts w:hint="eastAsia"/>
          <w:color w:val="000000" w:themeColor="text1"/>
          <w:sz w:val="24"/>
          <w:highlight w:val="none"/>
          <w14:textFill>
            <w14:solidFill>
              <w14:schemeClr w14:val="tx1"/>
            </w14:solidFill>
          </w14:textFill>
        </w:rPr>
        <w:t>移位服务</w:t>
      </w:r>
      <w:r>
        <w:rPr>
          <w:color w:val="000000" w:themeColor="text1"/>
          <w:sz w:val="24"/>
          <w:highlight w:val="none"/>
          <w14:textFill>
            <w14:solidFill>
              <w14:schemeClr w14:val="tx1"/>
            </w14:solidFill>
          </w14:textFill>
        </w:rPr>
        <w:t>。</w:t>
      </w:r>
    </w:p>
    <w:p>
      <w:pPr>
        <w:numPr>
          <w:ilvl w:val="0"/>
          <w:numId w:val="5"/>
        </w:numPr>
        <w:adjustRightInd w:val="0"/>
        <w:snapToGrid w:val="0"/>
        <w:spacing w:line="360" w:lineRule="auto"/>
        <w:rPr>
          <w:rFonts w:ascii="Times New Roman" w:hAnsi="Times New Roman" w:cs="Times New Roman"/>
          <w:bCs w:val="0"/>
          <w:color w:val="000000" w:themeColor="text1"/>
          <w:sz w:val="24"/>
          <w:highlight w:val="none"/>
          <w14:textFill>
            <w14:solidFill>
              <w14:schemeClr w14:val="tx1"/>
            </w14:solidFill>
          </w14:textFill>
        </w:rPr>
      </w:pPr>
      <w:r>
        <w:rPr>
          <w:rFonts w:hint="default"/>
          <w:b w:val="0"/>
          <w:bCs w:val="0"/>
          <w:color w:val="000000" w:themeColor="text1"/>
          <w:sz w:val="24"/>
          <w:highlight w:val="none"/>
          <w14:textFill>
            <w14:solidFill>
              <w14:schemeClr w14:val="tx1"/>
            </w14:solidFill>
          </w14:textFill>
        </w:rPr>
        <w:t>本合同执行的增值税税率为</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val="en-US" w:eastAsia="zh-CN"/>
          <w14:textFill>
            <w14:solidFill>
              <w14:schemeClr w14:val="tx1"/>
            </w14:solidFill>
          </w14:textFill>
        </w:rPr>
        <w:t>6</w:t>
      </w:r>
      <w:r>
        <w:rPr>
          <w:rFonts w:hint="eastAsia"/>
          <w:color w:val="000000" w:themeColor="text1"/>
          <w:sz w:val="24"/>
          <w:highlight w:val="none"/>
          <w:u w:val="single"/>
          <w14:textFill>
            <w14:solidFill>
              <w14:schemeClr w14:val="tx1"/>
            </w14:solidFill>
          </w14:textFill>
        </w:rPr>
        <w:t xml:space="preserve"> </w:t>
      </w:r>
      <w:r>
        <w:rPr>
          <w:rFonts w:hint="default"/>
          <w:b w:val="0"/>
          <w:bCs w:val="0"/>
          <w:color w:val="000000" w:themeColor="text1"/>
          <w:sz w:val="24"/>
          <w:highlight w:val="none"/>
          <w14:textFill>
            <w14:solidFill>
              <w14:schemeClr w14:val="tx1"/>
            </w14:solidFill>
          </w14:textFill>
        </w:rPr>
        <w:t>%（后续根据相关法律法规，税率有所调整的，相应调整）。</w:t>
      </w:r>
    </w:p>
    <w:p>
      <w:pPr>
        <w:numPr>
          <w:ilvl w:val="0"/>
          <w:numId w:val="5"/>
        </w:numPr>
        <w:adjustRightInd w:val="0"/>
        <w:snapToGrid w:val="0"/>
        <w:spacing w:line="360" w:lineRule="auto"/>
        <w:rPr>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本项目为综合</w:t>
      </w:r>
      <w:r>
        <w:rPr>
          <w:rFonts w:hint="eastAsia" w:ascii="宋体" w:hAnsi="宋体" w:cs="仿宋"/>
          <w:bCs/>
          <w:color w:val="000000" w:themeColor="text1"/>
          <w:sz w:val="24"/>
          <w:highlight w:val="none"/>
          <w:lang w:val="en-US" w:eastAsia="zh-CN"/>
          <w14:textFill>
            <w14:solidFill>
              <w14:schemeClr w14:val="tx1"/>
            </w14:solidFill>
          </w14:textFill>
        </w:rPr>
        <w:t>总</w:t>
      </w:r>
      <w:r>
        <w:rPr>
          <w:rFonts w:hint="eastAsia" w:ascii="宋体" w:hAnsi="宋体" w:cs="仿宋"/>
          <w:bCs/>
          <w:color w:val="000000" w:themeColor="text1"/>
          <w:sz w:val="24"/>
          <w:highlight w:val="none"/>
          <w14:textFill>
            <w14:solidFill>
              <w14:schemeClr w14:val="tx1"/>
            </w14:solidFill>
          </w14:textFill>
        </w:rPr>
        <w:t>价包干。综合</w:t>
      </w:r>
      <w:r>
        <w:rPr>
          <w:rFonts w:hint="eastAsia" w:ascii="宋体" w:hAnsi="宋体" w:cs="仿宋"/>
          <w:bCs/>
          <w:color w:val="000000" w:themeColor="text1"/>
          <w:sz w:val="24"/>
          <w:highlight w:val="none"/>
          <w:lang w:val="en-US" w:eastAsia="zh-CN"/>
          <w14:textFill>
            <w14:solidFill>
              <w14:schemeClr w14:val="tx1"/>
            </w14:solidFill>
          </w14:textFill>
        </w:rPr>
        <w:t>总</w:t>
      </w:r>
      <w:r>
        <w:rPr>
          <w:rFonts w:ascii="宋体" w:hAnsi="宋体" w:cs="仿宋"/>
          <w:bCs/>
          <w:color w:val="000000" w:themeColor="text1"/>
          <w:sz w:val="24"/>
          <w:highlight w:val="none"/>
          <w14:textFill>
            <w14:solidFill>
              <w14:schemeClr w14:val="tx1"/>
            </w14:solidFill>
          </w14:textFill>
        </w:rPr>
        <w:t>价</w:t>
      </w:r>
      <w:r>
        <w:rPr>
          <w:rFonts w:hint="eastAsia" w:ascii="宋体" w:hAnsi="宋体" w:cs="仿宋"/>
          <w:bCs/>
          <w:color w:val="000000" w:themeColor="text1"/>
          <w:sz w:val="24"/>
          <w:highlight w:val="none"/>
          <w14:textFill>
            <w14:solidFill>
              <w14:schemeClr w14:val="tx1"/>
            </w14:solidFill>
          </w14:textFill>
        </w:rPr>
        <w:t>是指</w:t>
      </w:r>
      <w:r>
        <w:rPr>
          <w:rFonts w:hint="default" w:ascii="Times New Roman" w:hAnsi="Times New Roman" w:cs="Times New Roman"/>
          <w:bCs w:val="0"/>
          <w:color w:val="000000" w:themeColor="text1"/>
          <w:sz w:val="24"/>
          <w:highlight w:val="none"/>
          <w14:textFill>
            <w14:solidFill>
              <w14:schemeClr w14:val="tx1"/>
            </w14:solidFill>
          </w14:textFill>
        </w:rPr>
        <w:t>乙方</w:t>
      </w:r>
      <w:r>
        <w:rPr>
          <w:rFonts w:hint="eastAsia"/>
          <w:color w:val="000000" w:themeColor="text1"/>
          <w:sz w:val="24"/>
          <w:highlight w:val="none"/>
          <w14:textFill>
            <w14:solidFill>
              <w14:schemeClr w14:val="tx1"/>
            </w14:solidFill>
          </w14:textFill>
        </w:rPr>
        <w:t>负责</w:t>
      </w:r>
      <w:r>
        <w:rPr>
          <w:rFonts w:ascii="Times New Roman" w:hAnsi="Times New Roman" w:cs="Times New Roman"/>
          <w:bCs w:val="0"/>
          <w:color w:val="000000" w:themeColor="text1"/>
          <w:sz w:val="24"/>
          <w:highlight w:val="none"/>
          <w14:textFill>
            <w14:solidFill>
              <w14:schemeClr w14:val="tx1"/>
            </w14:solidFill>
          </w14:textFill>
        </w:rPr>
        <w:t>完成项目</w:t>
      </w:r>
      <w:r>
        <w:rPr>
          <w:rFonts w:hint="eastAsia"/>
          <w:color w:val="000000" w:themeColor="text1"/>
          <w:sz w:val="24"/>
          <w:highlight w:val="none"/>
          <w14:textFill>
            <w14:solidFill>
              <w14:schemeClr w14:val="tx1"/>
            </w14:solidFill>
          </w14:textFill>
        </w:rPr>
        <w:t>服务内容</w:t>
      </w:r>
      <w:r>
        <w:rPr>
          <w:rFonts w:ascii="Times New Roman" w:hAnsi="Times New Roman" w:cs="Times New Roman"/>
          <w:bCs w:val="0"/>
          <w:color w:val="000000" w:themeColor="text1"/>
          <w:sz w:val="24"/>
          <w:highlight w:val="none"/>
          <w14:textFill>
            <w14:solidFill>
              <w14:schemeClr w14:val="tx1"/>
            </w14:solidFill>
          </w14:textFill>
        </w:rPr>
        <w:t>的全部费用，包含但不限于以下费用：材料成本费、设备器材费、</w:t>
      </w:r>
      <w:r>
        <w:rPr>
          <w:rFonts w:hint="eastAsia" w:cs="Times New Roman"/>
          <w:bCs w:val="0"/>
          <w:color w:val="000000" w:themeColor="text1"/>
          <w:sz w:val="24"/>
          <w:highlight w:val="none"/>
          <w:lang w:val="en-US" w:eastAsia="zh-CN"/>
          <w14:textFill>
            <w14:solidFill>
              <w14:schemeClr w14:val="tx1"/>
            </w14:solidFill>
          </w14:textFill>
        </w:rPr>
        <w:t>专用工具费、</w:t>
      </w:r>
      <w:r>
        <w:rPr>
          <w:rFonts w:ascii="Times New Roman" w:hAnsi="Times New Roman" w:cs="Times New Roman"/>
          <w:bCs w:val="0"/>
          <w:color w:val="000000" w:themeColor="text1"/>
          <w:sz w:val="24"/>
          <w:highlight w:val="none"/>
          <w14:textFill>
            <w14:solidFill>
              <w14:schemeClr w14:val="tx1"/>
            </w14:solidFill>
          </w14:textFill>
        </w:rPr>
        <w:t>人工费、</w:t>
      </w:r>
      <w:r>
        <w:rPr>
          <w:rFonts w:hint="eastAsia"/>
          <w:color w:val="000000" w:themeColor="text1"/>
          <w:sz w:val="24"/>
          <w:highlight w:val="none"/>
          <w14:textFill>
            <w14:solidFill>
              <w14:schemeClr w14:val="tx1"/>
            </w14:solidFill>
          </w14:textFill>
        </w:rPr>
        <w:t>加班费、保险费、各类补贴、</w:t>
      </w:r>
      <w:r>
        <w:rPr>
          <w:rFonts w:ascii="Times New Roman" w:hAnsi="Times New Roman" w:cs="Times New Roman"/>
          <w:bCs w:val="0"/>
          <w:color w:val="000000" w:themeColor="text1"/>
          <w:sz w:val="24"/>
          <w:highlight w:val="none"/>
          <w14:textFill>
            <w14:solidFill>
              <w14:schemeClr w14:val="tx1"/>
            </w14:solidFill>
          </w14:textFill>
        </w:rPr>
        <w:t>交通费、场地费</w:t>
      </w:r>
      <w:r>
        <w:rPr>
          <w:rFonts w:hint="eastAsia"/>
          <w:color w:val="000000" w:themeColor="text1"/>
          <w:sz w:val="24"/>
          <w:highlight w:val="none"/>
          <w14:textFill>
            <w14:solidFill>
              <w14:schemeClr w14:val="tx1"/>
            </w14:solidFill>
          </w14:textFill>
        </w:rPr>
        <w:t>、合理利润、风险费用</w:t>
      </w:r>
      <w:r>
        <w:rPr>
          <w:rFonts w:ascii="Times New Roman" w:hAnsi="Times New Roman" w:cs="Times New Roman"/>
          <w:bCs w:val="0"/>
          <w:color w:val="000000" w:themeColor="text1"/>
          <w:sz w:val="24"/>
          <w:highlight w:val="none"/>
          <w14:textFill>
            <w14:solidFill>
              <w14:schemeClr w14:val="tx1"/>
            </w14:solidFill>
          </w14:textFill>
        </w:rPr>
        <w:t>以及项目实施过程中其它应预见和不可预见费用等完成本项目、达到</w:t>
      </w:r>
      <w:r>
        <w:rPr>
          <w:rFonts w:hint="default" w:ascii="Times New Roman" w:hAnsi="Times New Roman" w:cs="Times New Roman"/>
          <w:bCs w:val="0"/>
          <w:color w:val="000000" w:themeColor="text1"/>
          <w:sz w:val="24"/>
          <w:highlight w:val="none"/>
          <w14:textFill>
            <w14:solidFill>
              <w14:schemeClr w14:val="tx1"/>
            </w14:solidFill>
          </w14:textFill>
        </w:rPr>
        <w:t>甲方</w:t>
      </w:r>
      <w:r>
        <w:rPr>
          <w:rFonts w:ascii="Times New Roman" w:hAnsi="Times New Roman" w:cs="Times New Roman"/>
          <w:bCs w:val="0"/>
          <w:color w:val="000000" w:themeColor="text1"/>
          <w:sz w:val="24"/>
          <w:highlight w:val="none"/>
          <w14:textFill>
            <w14:solidFill>
              <w14:schemeClr w14:val="tx1"/>
            </w14:solidFill>
          </w14:textFill>
        </w:rPr>
        <w:t>目的的一切费用及企业利润。</w:t>
      </w:r>
      <w:r>
        <w:rPr>
          <w:rFonts w:hint="eastAsia" w:cs="Times New Roman"/>
          <w:bCs w:val="0"/>
          <w:color w:val="000000" w:themeColor="text1"/>
          <w:sz w:val="24"/>
          <w:highlight w:val="none"/>
          <w:lang w:val="en-US" w:eastAsia="zh-CN"/>
          <w14:textFill>
            <w14:solidFill>
              <w14:schemeClr w14:val="tx1"/>
            </w14:solidFill>
          </w14:textFill>
        </w:rPr>
        <w:t>本合同按</w:t>
      </w:r>
      <w:r>
        <w:rPr>
          <w:rFonts w:hint="eastAsia" w:ascii="宋体" w:hAnsi="宋体" w:cs="仿宋"/>
          <w:bCs/>
          <w:color w:val="000000" w:themeColor="text1"/>
          <w:sz w:val="24"/>
          <w:szCs w:val="24"/>
          <w:highlight w:val="none"/>
          <w:lang w:val="en-US" w:eastAsia="zh-CN"/>
          <w14:textFill>
            <w14:solidFill>
              <w14:schemeClr w14:val="tx1"/>
            </w14:solidFill>
          </w14:textFill>
        </w:rPr>
        <w:t>满馆展一半的服务范围及工程量进测算</w:t>
      </w:r>
      <w:r>
        <w:rPr>
          <w:rFonts w:hint="eastAsia" w:ascii="宋体" w:hAnsi="宋体" w:eastAsia="宋体" w:cs="仿宋"/>
          <w:bCs/>
          <w:color w:val="000000" w:themeColor="text1"/>
          <w:sz w:val="24"/>
          <w:szCs w:val="24"/>
          <w:highlight w:val="none"/>
          <w:lang w:val="en-US" w:eastAsia="zh-CN"/>
          <w14:textFill>
            <w14:solidFill>
              <w14:schemeClr w14:val="tx1"/>
            </w14:solidFill>
          </w14:textFill>
        </w:rPr>
        <w:t>，</w:t>
      </w:r>
      <w:r>
        <w:rPr>
          <w:rFonts w:hint="eastAsia" w:ascii="宋体" w:hAnsi="宋体" w:cs="仿宋"/>
          <w:bCs/>
          <w:color w:val="000000" w:themeColor="text1"/>
          <w:sz w:val="24"/>
          <w:highlight w:val="none"/>
          <w14:textFill>
            <w14:solidFill>
              <w14:schemeClr w14:val="tx1"/>
            </w14:solidFill>
          </w14:textFill>
        </w:rPr>
        <w:t>乙方</w:t>
      </w:r>
      <w:r>
        <w:rPr>
          <w:rFonts w:hint="eastAsia"/>
          <w:color w:val="000000" w:themeColor="text1"/>
          <w:sz w:val="24"/>
          <w:highlight w:val="none"/>
          <w14:textFill>
            <w14:solidFill>
              <w14:schemeClr w14:val="tx1"/>
            </w14:solidFill>
          </w14:textFill>
        </w:rPr>
        <w:t>必须充分考虑本项目实施期间</w:t>
      </w:r>
      <w:r>
        <w:rPr>
          <w:rFonts w:hint="eastAsia"/>
          <w:color w:val="000000" w:themeColor="text1"/>
          <w:sz w:val="24"/>
          <w:highlight w:val="none"/>
          <w:lang w:val="en-US" w:eastAsia="zh-CN"/>
          <w14:textFill>
            <w14:solidFill>
              <w14:schemeClr w14:val="tx1"/>
            </w14:solidFill>
          </w14:textFill>
        </w:rPr>
        <w:t>因业务范围、工程量变化可能导致的总价减少、工程量增加等</w:t>
      </w:r>
      <w:r>
        <w:rPr>
          <w:rFonts w:hint="eastAsia"/>
          <w:color w:val="000000" w:themeColor="text1"/>
          <w:sz w:val="24"/>
          <w:highlight w:val="none"/>
          <w14:textFill>
            <w14:solidFill>
              <w14:schemeClr w14:val="tx1"/>
            </w14:solidFill>
          </w14:textFill>
        </w:rPr>
        <w:t>一切可能产生的风险和相关费用，甲方</w:t>
      </w:r>
      <w:r>
        <w:rPr>
          <w:rFonts w:hint="eastAsia"/>
          <w:color w:val="000000" w:themeColor="text1"/>
          <w:sz w:val="24"/>
          <w:highlight w:val="none"/>
          <w:lang w:val="en-US" w:eastAsia="zh-CN"/>
          <w14:textFill>
            <w14:solidFill>
              <w14:schemeClr w14:val="tx1"/>
            </w14:solidFill>
          </w14:textFill>
        </w:rPr>
        <w:t>除按自身承接业务量减少比例减少支付服务费用外，</w:t>
      </w:r>
      <w:r>
        <w:rPr>
          <w:rFonts w:hint="eastAsia"/>
          <w:color w:val="000000" w:themeColor="text1"/>
          <w:sz w:val="24"/>
          <w:highlight w:val="none"/>
          <w14:textFill>
            <w14:solidFill>
              <w14:schemeClr w14:val="tx1"/>
            </w14:solidFill>
          </w14:textFill>
        </w:rPr>
        <w:t>不再另行支付合同约定款项以外的任何费用和补偿</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乙方提供特殊规格材料及安装价格由甲乙双方商议确定</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w:t>
      </w:r>
    </w:p>
    <w:p>
      <w:pPr>
        <w:numPr>
          <w:ilvl w:val="0"/>
          <w:numId w:val="3"/>
        </w:numPr>
        <w:spacing w:line="360" w:lineRule="auto"/>
        <w:ind w:firstLine="0"/>
        <w:rPr>
          <w:rFonts w:ascii="宋体" w:hAnsi="宋体" w:cs="仿宋"/>
          <w:b/>
          <w:color w:val="000000" w:themeColor="text1"/>
          <w:sz w:val="24"/>
          <w:highlight w:val="none"/>
          <w14:textFill>
            <w14:solidFill>
              <w14:schemeClr w14:val="tx1"/>
            </w14:solidFill>
          </w14:textFill>
        </w:rPr>
      </w:pPr>
      <w:r>
        <w:rPr>
          <w:rFonts w:ascii="宋体" w:hAnsi="宋体" w:cs="仿宋"/>
          <w:b/>
          <w:color w:val="000000" w:themeColor="text1"/>
          <w:sz w:val="24"/>
          <w:highlight w:val="none"/>
          <w14:textFill>
            <w14:solidFill>
              <w14:schemeClr w14:val="tx1"/>
            </w14:solidFill>
          </w14:textFill>
        </w:rPr>
        <w:t>付款条件</w:t>
      </w:r>
    </w:p>
    <w:p>
      <w:pPr>
        <w:numPr>
          <w:ilvl w:val="0"/>
          <w:numId w:val="6"/>
        </w:numPr>
        <w:spacing w:line="360" w:lineRule="auto"/>
        <w:rPr>
          <w:rFonts w:ascii="宋体" w:hAnsi="宋体" w:cs="仿宋"/>
          <w:color w:val="000000" w:themeColor="text1"/>
          <w:sz w:val="24"/>
          <w:highlight w:val="none"/>
          <w14:textFill>
            <w14:solidFill>
              <w14:schemeClr w14:val="tx1"/>
            </w14:solidFill>
          </w14:textFill>
        </w:rPr>
      </w:pPr>
      <w:r>
        <w:rPr>
          <w:rFonts w:ascii="宋体" w:hAnsi="宋体" w:cs="仿宋"/>
          <w:color w:val="000000" w:themeColor="text1"/>
          <w:sz w:val="24"/>
          <w:highlight w:val="none"/>
          <w14:textFill>
            <w14:solidFill>
              <w14:schemeClr w14:val="tx1"/>
            </w14:solidFill>
          </w14:textFill>
        </w:rPr>
        <w:t>服务费按展会/活动进行</w:t>
      </w:r>
      <w:r>
        <w:rPr>
          <w:rFonts w:hint="eastAsia" w:ascii="宋体" w:hAnsi="宋体" w:cs="仿宋"/>
          <w:color w:val="000000" w:themeColor="text1"/>
          <w:sz w:val="24"/>
          <w:highlight w:val="none"/>
          <w14:textFill>
            <w14:solidFill>
              <w14:schemeClr w14:val="tx1"/>
            </w14:solidFill>
          </w14:textFill>
        </w:rPr>
        <w:t>结算</w:t>
      </w:r>
      <w:r>
        <w:rPr>
          <w:rFonts w:ascii="宋体" w:hAnsi="宋体" w:cs="仿宋"/>
          <w:color w:val="000000" w:themeColor="text1"/>
          <w:sz w:val="24"/>
          <w:highlight w:val="none"/>
          <w14:textFill>
            <w14:solidFill>
              <w14:schemeClr w14:val="tx1"/>
            </w14:solidFill>
          </w14:textFill>
        </w:rPr>
        <w:t>支付，展会/活动结束，</w:t>
      </w:r>
      <w:r>
        <w:rPr>
          <w:rFonts w:hint="eastAsia" w:ascii="宋体" w:hAnsi="宋体" w:cs="仿宋"/>
          <w:color w:val="000000" w:themeColor="text1"/>
          <w:sz w:val="24"/>
          <w:highlight w:val="none"/>
          <w14:textFill>
            <w14:solidFill>
              <w14:schemeClr w14:val="tx1"/>
            </w14:solidFill>
          </w14:textFill>
        </w:rPr>
        <w:t>甲方</w:t>
      </w:r>
      <w:r>
        <w:rPr>
          <w:rFonts w:ascii="宋体" w:hAnsi="宋体" w:cs="仿宋"/>
          <w:color w:val="000000" w:themeColor="text1"/>
          <w:sz w:val="24"/>
          <w:highlight w:val="none"/>
          <w14:textFill>
            <w14:solidFill>
              <w14:schemeClr w14:val="tx1"/>
            </w14:solidFill>
          </w14:textFill>
        </w:rPr>
        <w:t>在收到</w:t>
      </w:r>
      <w:r>
        <w:rPr>
          <w:rFonts w:hint="eastAsia" w:ascii="宋体" w:hAnsi="宋体" w:cs="仿宋"/>
          <w:color w:val="000000" w:themeColor="text1"/>
          <w:sz w:val="24"/>
          <w:highlight w:val="none"/>
          <w14:textFill>
            <w14:solidFill>
              <w14:schemeClr w14:val="tx1"/>
            </w14:solidFill>
          </w14:textFill>
        </w:rPr>
        <w:t>乙方</w:t>
      </w:r>
      <w:r>
        <w:rPr>
          <w:rFonts w:ascii="宋体" w:hAnsi="宋体" w:cs="仿宋"/>
          <w:color w:val="000000" w:themeColor="text1"/>
          <w:sz w:val="24"/>
          <w:highlight w:val="none"/>
          <w14:textFill>
            <w14:solidFill>
              <w14:schemeClr w14:val="tx1"/>
            </w14:solidFill>
          </w14:textFill>
        </w:rPr>
        <w:t>提交的合格的请款资料及等额有效的增值税专用发票</w:t>
      </w:r>
      <w:r>
        <w:rPr>
          <w:rFonts w:hint="eastAsia" w:ascii="宋体" w:hAnsi="宋体" w:cs="仿宋"/>
          <w:color w:val="000000" w:themeColor="text1"/>
          <w:sz w:val="24"/>
          <w:highlight w:val="none"/>
          <w14:textFill>
            <w14:solidFill>
              <w14:schemeClr w14:val="tx1"/>
            </w14:solidFill>
          </w14:textFill>
        </w:rPr>
        <w:t>并审核无误</w:t>
      </w:r>
      <w:r>
        <w:rPr>
          <w:rFonts w:ascii="宋体" w:hAnsi="宋体" w:cs="仿宋"/>
          <w:color w:val="000000" w:themeColor="text1"/>
          <w:sz w:val="24"/>
          <w:highlight w:val="none"/>
          <w14:textFill>
            <w14:solidFill>
              <w14:schemeClr w14:val="tx1"/>
            </w14:solidFill>
          </w14:textFill>
        </w:rPr>
        <w:t>后30个工作日内以</w:t>
      </w:r>
      <w:r>
        <w:rPr>
          <w:rFonts w:hint="eastAsia" w:ascii="宋体" w:hAnsi="宋体" w:cs="仿宋"/>
          <w:color w:val="000000" w:themeColor="text1"/>
          <w:sz w:val="24"/>
          <w:highlight w:val="none"/>
          <w14:textFill>
            <w14:solidFill>
              <w14:schemeClr w14:val="tx1"/>
            </w14:solidFill>
          </w14:textFill>
        </w:rPr>
        <w:t>银行</w:t>
      </w:r>
      <w:r>
        <w:rPr>
          <w:rFonts w:ascii="宋体" w:hAnsi="宋体" w:cs="仿宋"/>
          <w:color w:val="000000" w:themeColor="text1"/>
          <w:sz w:val="24"/>
          <w:highlight w:val="none"/>
          <w14:textFill>
            <w14:solidFill>
              <w14:schemeClr w14:val="tx1"/>
            </w14:solidFill>
          </w14:textFill>
        </w:rPr>
        <w:t>转账形式支付当次展会/活动的服务费给</w:t>
      </w:r>
      <w:r>
        <w:rPr>
          <w:rFonts w:hint="eastAsia" w:ascii="宋体" w:hAnsi="宋体" w:cs="仿宋"/>
          <w:color w:val="000000" w:themeColor="text1"/>
          <w:sz w:val="24"/>
          <w:highlight w:val="none"/>
          <w14:textFill>
            <w14:solidFill>
              <w14:schemeClr w14:val="tx1"/>
            </w14:solidFill>
          </w14:textFill>
        </w:rPr>
        <w:t>乙方</w:t>
      </w:r>
      <w:r>
        <w:rPr>
          <w:rFonts w:ascii="宋体" w:hAnsi="宋体" w:cs="仿宋"/>
          <w:color w:val="000000" w:themeColor="text1"/>
          <w:sz w:val="24"/>
          <w:highlight w:val="none"/>
          <w14:textFill>
            <w14:solidFill>
              <w14:schemeClr w14:val="tx1"/>
            </w14:solidFill>
          </w14:textFill>
        </w:rPr>
        <w:t>。</w:t>
      </w:r>
    </w:p>
    <w:p>
      <w:pPr>
        <w:numPr>
          <w:ilvl w:val="0"/>
          <w:numId w:val="6"/>
        </w:numPr>
        <w:spacing w:line="360" w:lineRule="auto"/>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结算金额</w:t>
      </w:r>
      <w:r>
        <w:rPr>
          <w:rFonts w:ascii="宋体" w:hAnsi="宋体" w:cs="仿宋"/>
          <w:bCs/>
          <w:color w:val="000000" w:themeColor="text1"/>
          <w:sz w:val="24"/>
          <w:highlight w:val="none"/>
          <w14:textFill>
            <w14:solidFill>
              <w14:schemeClr w14:val="tx1"/>
            </w14:solidFill>
          </w14:textFill>
        </w:rPr>
        <w:t>=</w:t>
      </w:r>
      <w:r>
        <w:rPr>
          <w:rFonts w:hint="eastAsia" w:ascii="宋体" w:hAnsi="宋体" w:cs="仿宋"/>
          <w:bCs/>
          <w:color w:val="000000" w:themeColor="text1"/>
          <w:sz w:val="24"/>
          <w:highlight w:val="none"/>
          <w:lang w:val="en-US" w:eastAsia="zh-CN"/>
          <w14:textFill>
            <w14:solidFill>
              <w14:schemeClr w14:val="tx1"/>
            </w14:solidFill>
          </w14:textFill>
        </w:rPr>
        <w:t>包干价*实际执行业务率</w:t>
      </w:r>
      <w:r>
        <w:rPr>
          <w:rFonts w:ascii="宋体" w:hAnsi="宋体" w:cs="仿宋"/>
          <w:bCs/>
          <w:color w:val="000000" w:themeColor="text1"/>
          <w:sz w:val="24"/>
          <w:highlight w:val="none"/>
          <w14:textFill>
            <w14:solidFill>
              <w14:schemeClr w14:val="tx1"/>
            </w14:solidFill>
          </w14:textFill>
        </w:rPr>
        <w:t>-扣罚金额，其中扣罚金额按照</w:t>
      </w:r>
      <w:r>
        <w:rPr>
          <w:rFonts w:ascii="宋体" w:hAnsi="宋体" w:cs="仿宋"/>
          <w:color w:val="000000" w:themeColor="text1"/>
          <w:sz w:val="24"/>
          <w:highlight w:val="none"/>
          <w14:textFill>
            <w14:solidFill>
              <w14:schemeClr w14:val="tx1"/>
            </w14:solidFill>
          </w14:textFill>
        </w:rPr>
        <w:t>《展会水电现场外包服务评价表》的评分进行扣罚</w:t>
      </w:r>
      <w:r>
        <w:rPr>
          <w:rFonts w:hint="eastAsia" w:ascii="宋体" w:hAnsi="宋体" w:cs="仿宋"/>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其中实际执行业务率=甲方实际从展览中心有限公司结算费用/37.5万。</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6"/>
        <w:gridCol w:w="1673"/>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83" w:type="dxa"/>
            <w:gridSpan w:val="3"/>
            <w:noWrap w:val="0"/>
            <w:vAlign w:val="top"/>
          </w:tcPr>
          <w:p>
            <w:pPr>
              <w:pStyle w:val="31"/>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考核标准：考核评分100分为满分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96" w:type="dxa"/>
            <w:noWrap w:val="0"/>
            <w:vAlign w:val="top"/>
          </w:tcPr>
          <w:p>
            <w:pPr>
              <w:pStyle w:val="31"/>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评分</w:t>
            </w:r>
          </w:p>
        </w:tc>
        <w:tc>
          <w:tcPr>
            <w:tcW w:w="1673" w:type="dxa"/>
            <w:noWrap w:val="0"/>
            <w:vAlign w:val="top"/>
          </w:tcPr>
          <w:p>
            <w:pPr>
              <w:pStyle w:val="31"/>
              <w:jc w:val="center"/>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满意度</w:t>
            </w:r>
          </w:p>
        </w:tc>
        <w:tc>
          <w:tcPr>
            <w:tcW w:w="3014" w:type="dxa"/>
            <w:noWrap w:val="0"/>
            <w:vAlign w:val="top"/>
          </w:tcPr>
          <w:p>
            <w:pPr>
              <w:pStyle w:val="31"/>
              <w:jc w:val="center"/>
              <w:rPr>
                <w:rFonts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扣罚机制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96" w:type="dxa"/>
            <w:noWrap w:val="0"/>
            <w:vAlign w:val="top"/>
          </w:tcPr>
          <w:p>
            <w:pPr>
              <w:pStyle w:val="31"/>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85分（含）-100分</w:t>
            </w:r>
          </w:p>
        </w:tc>
        <w:tc>
          <w:tcPr>
            <w:tcW w:w="1673" w:type="dxa"/>
            <w:noWrap w:val="0"/>
            <w:vAlign w:val="top"/>
          </w:tcPr>
          <w:p>
            <w:pPr>
              <w:pStyle w:val="31"/>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满意</w:t>
            </w:r>
          </w:p>
        </w:tc>
        <w:tc>
          <w:tcPr>
            <w:tcW w:w="3014" w:type="dxa"/>
            <w:noWrap w:val="0"/>
            <w:vAlign w:val="top"/>
          </w:tcPr>
          <w:p>
            <w:pPr>
              <w:pStyle w:val="31"/>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不扣不减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96" w:type="dxa"/>
            <w:noWrap w:val="0"/>
            <w:vAlign w:val="top"/>
          </w:tcPr>
          <w:p>
            <w:pPr>
              <w:pStyle w:val="31"/>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80分（含）-85分</w:t>
            </w:r>
          </w:p>
        </w:tc>
        <w:tc>
          <w:tcPr>
            <w:tcW w:w="1673" w:type="dxa"/>
            <w:noWrap w:val="0"/>
            <w:vAlign w:val="top"/>
          </w:tcPr>
          <w:p>
            <w:pPr>
              <w:pStyle w:val="31"/>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基本满意</w:t>
            </w:r>
          </w:p>
        </w:tc>
        <w:tc>
          <w:tcPr>
            <w:tcW w:w="3014" w:type="dxa"/>
            <w:noWrap w:val="0"/>
            <w:vAlign w:val="top"/>
          </w:tcPr>
          <w:p>
            <w:pPr>
              <w:pStyle w:val="31"/>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不扣不减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96" w:type="dxa"/>
            <w:noWrap w:val="0"/>
            <w:vAlign w:val="top"/>
          </w:tcPr>
          <w:p>
            <w:pPr>
              <w:pStyle w:val="31"/>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80分（不含）-70分</w:t>
            </w:r>
          </w:p>
        </w:tc>
        <w:tc>
          <w:tcPr>
            <w:tcW w:w="1673" w:type="dxa"/>
            <w:noWrap w:val="0"/>
            <w:vAlign w:val="top"/>
          </w:tcPr>
          <w:p>
            <w:pPr>
              <w:pStyle w:val="31"/>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不满意</w:t>
            </w:r>
          </w:p>
        </w:tc>
        <w:tc>
          <w:tcPr>
            <w:tcW w:w="3014" w:type="dxa"/>
            <w:noWrap w:val="0"/>
            <w:vAlign w:val="top"/>
          </w:tcPr>
          <w:p>
            <w:pPr>
              <w:pStyle w:val="31"/>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扣除当次服务费的10%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96" w:type="dxa"/>
            <w:noWrap w:val="0"/>
            <w:vAlign w:val="top"/>
          </w:tcPr>
          <w:p>
            <w:pPr>
              <w:pStyle w:val="31"/>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70分（不含）以下</w:t>
            </w:r>
          </w:p>
        </w:tc>
        <w:tc>
          <w:tcPr>
            <w:tcW w:w="1673" w:type="dxa"/>
            <w:noWrap w:val="0"/>
            <w:vAlign w:val="top"/>
          </w:tcPr>
          <w:p>
            <w:pPr>
              <w:pStyle w:val="31"/>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非常不满意</w:t>
            </w:r>
          </w:p>
        </w:tc>
        <w:tc>
          <w:tcPr>
            <w:tcW w:w="3014" w:type="dxa"/>
            <w:noWrap w:val="0"/>
            <w:vAlign w:val="top"/>
          </w:tcPr>
          <w:p>
            <w:pPr>
              <w:pStyle w:val="31"/>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扣除当次服务费的30%</w:t>
            </w:r>
          </w:p>
        </w:tc>
      </w:tr>
    </w:tbl>
    <w:p>
      <w:pPr>
        <w:numPr>
          <w:ilvl w:val="0"/>
          <w:numId w:val="6"/>
        </w:numPr>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乙方</w:t>
      </w:r>
      <w:r>
        <w:rPr>
          <w:rFonts w:ascii="宋体" w:hAnsi="宋体" w:cs="仿宋"/>
          <w:color w:val="000000" w:themeColor="text1"/>
          <w:sz w:val="24"/>
          <w:highlight w:val="none"/>
          <w14:textFill>
            <w14:solidFill>
              <w14:schemeClr w14:val="tx1"/>
            </w14:solidFill>
          </w14:textFill>
        </w:rPr>
        <w:t>在</w:t>
      </w:r>
      <w:r>
        <w:rPr>
          <w:rFonts w:hint="eastAsia" w:ascii="宋体" w:hAnsi="宋体" w:cs="仿宋"/>
          <w:color w:val="000000" w:themeColor="text1"/>
          <w:sz w:val="24"/>
          <w:highlight w:val="none"/>
          <w:lang w:eastAsia="zh-CN"/>
          <w14:textFill>
            <w14:solidFill>
              <w14:schemeClr w14:val="tx1"/>
            </w14:solidFill>
          </w14:textFill>
        </w:rPr>
        <w:t>展会</w:t>
      </w:r>
      <w:r>
        <w:rPr>
          <w:rFonts w:ascii="宋体" w:hAnsi="宋体" w:cs="仿宋"/>
          <w:color w:val="000000" w:themeColor="text1"/>
          <w:sz w:val="24"/>
          <w:highlight w:val="none"/>
          <w14:textFill>
            <w14:solidFill>
              <w14:schemeClr w14:val="tx1"/>
            </w14:solidFill>
          </w14:textFill>
        </w:rPr>
        <w:t>/活动结束后提交当次展会/活动的结算报告给</w:t>
      </w:r>
      <w:r>
        <w:rPr>
          <w:rFonts w:hint="eastAsia" w:ascii="宋体" w:hAnsi="宋体" w:cs="仿宋"/>
          <w:color w:val="000000" w:themeColor="text1"/>
          <w:sz w:val="24"/>
          <w:highlight w:val="none"/>
          <w14:textFill>
            <w14:solidFill>
              <w14:schemeClr w14:val="tx1"/>
            </w14:solidFill>
          </w14:textFill>
        </w:rPr>
        <w:t>甲方</w:t>
      </w:r>
      <w:r>
        <w:rPr>
          <w:rFonts w:ascii="宋体" w:hAnsi="宋体" w:cs="仿宋"/>
          <w:color w:val="000000" w:themeColor="text1"/>
          <w:sz w:val="24"/>
          <w:highlight w:val="none"/>
          <w14:textFill>
            <w14:solidFill>
              <w14:schemeClr w14:val="tx1"/>
            </w14:solidFill>
          </w14:textFill>
        </w:rPr>
        <w:t>，</w:t>
      </w:r>
      <w:r>
        <w:rPr>
          <w:rFonts w:hint="eastAsia" w:ascii="宋体" w:hAnsi="宋体" w:cs="仿宋"/>
          <w:color w:val="000000" w:themeColor="text1"/>
          <w:sz w:val="24"/>
          <w:highlight w:val="none"/>
          <w14:textFill>
            <w14:solidFill>
              <w14:schemeClr w14:val="tx1"/>
            </w14:solidFill>
          </w14:textFill>
        </w:rPr>
        <w:t>甲方原则上</w:t>
      </w:r>
      <w:r>
        <w:rPr>
          <w:rFonts w:ascii="宋体" w:hAnsi="宋体" w:cs="仿宋"/>
          <w:color w:val="000000" w:themeColor="text1"/>
          <w:sz w:val="24"/>
          <w:highlight w:val="none"/>
          <w14:textFill>
            <w14:solidFill>
              <w14:schemeClr w14:val="tx1"/>
            </w14:solidFill>
          </w14:textFill>
        </w:rPr>
        <w:t>10</w:t>
      </w:r>
      <w:r>
        <w:rPr>
          <w:rFonts w:hint="eastAsia" w:ascii="宋体" w:hAnsi="宋体" w:cs="仿宋"/>
          <w:color w:val="000000" w:themeColor="text1"/>
          <w:sz w:val="24"/>
          <w:highlight w:val="none"/>
          <w14:textFill>
            <w14:solidFill>
              <w14:schemeClr w14:val="tx1"/>
            </w14:solidFill>
          </w14:textFill>
        </w:rPr>
        <w:t>个工作</w:t>
      </w:r>
      <w:r>
        <w:rPr>
          <w:rFonts w:ascii="宋体" w:hAnsi="宋体" w:cs="仿宋"/>
          <w:color w:val="000000" w:themeColor="text1"/>
          <w:sz w:val="24"/>
          <w:highlight w:val="none"/>
          <w14:textFill>
            <w14:solidFill>
              <w14:schemeClr w14:val="tx1"/>
            </w14:solidFill>
          </w14:textFill>
        </w:rPr>
        <w:t>日内审核完毕，</w:t>
      </w:r>
      <w:r>
        <w:rPr>
          <w:rFonts w:hint="eastAsia" w:ascii="宋体" w:hAnsi="宋体" w:cs="仿宋"/>
          <w:color w:val="000000" w:themeColor="text1"/>
          <w:sz w:val="24"/>
          <w:highlight w:val="none"/>
          <w14:textFill>
            <w14:solidFill>
              <w14:schemeClr w14:val="tx1"/>
            </w14:solidFill>
          </w14:textFill>
        </w:rPr>
        <w:t>乙方应</w:t>
      </w:r>
      <w:r>
        <w:rPr>
          <w:rFonts w:ascii="宋体" w:hAnsi="宋体" w:cs="仿宋"/>
          <w:color w:val="000000" w:themeColor="text1"/>
          <w:sz w:val="24"/>
          <w:highlight w:val="none"/>
          <w14:textFill>
            <w14:solidFill>
              <w14:schemeClr w14:val="tx1"/>
            </w14:solidFill>
          </w14:textFill>
        </w:rPr>
        <w:t>于</w:t>
      </w:r>
      <w:r>
        <w:rPr>
          <w:rFonts w:hint="eastAsia" w:ascii="宋体" w:hAnsi="宋体" w:cs="仿宋"/>
          <w:color w:val="000000" w:themeColor="text1"/>
          <w:sz w:val="24"/>
          <w:highlight w:val="none"/>
          <w14:textFill>
            <w14:solidFill>
              <w14:schemeClr w14:val="tx1"/>
            </w14:solidFill>
          </w14:textFill>
        </w:rPr>
        <w:t>结算报告</w:t>
      </w:r>
      <w:r>
        <w:rPr>
          <w:rFonts w:ascii="宋体" w:hAnsi="宋体" w:cs="仿宋"/>
          <w:color w:val="000000" w:themeColor="text1"/>
          <w:sz w:val="24"/>
          <w:highlight w:val="none"/>
          <w14:textFill>
            <w14:solidFill>
              <w14:schemeClr w14:val="tx1"/>
            </w14:solidFill>
          </w14:textFill>
        </w:rPr>
        <w:t>审核</w:t>
      </w:r>
      <w:r>
        <w:rPr>
          <w:rFonts w:hint="eastAsia" w:ascii="宋体" w:hAnsi="宋体" w:cs="仿宋"/>
          <w:color w:val="000000" w:themeColor="text1"/>
          <w:sz w:val="24"/>
          <w:highlight w:val="none"/>
          <w14:textFill>
            <w14:solidFill>
              <w14:schemeClr w14:val="tx1"/>
            </w14:solidFill>
          </w14:textFill>
        </w:rPr>
        <w:t>通过之日起</w:t>
      </w:r>
      <w:r>
        <w:rPr>
          <w:rFonts w:ascii="宋体" w:hAnsi="宋体" w:cs="仿宋"/>
          <w:color w:val="000000" w:themeColor="text1"/>
          <w:sz w:val="24"/>
          <w:highlight w:val="none"/>
          <w14:textFill>
            <w14:solidFill>
              <w14:schemeClr w14:val="tx1"/>
            </w14:solidFill>
          </w14:textFill>
        </w:rPr>
        <w:t>5</w:t>
      </w:r>
      <w:r>
        <w:rPr>
          <w:rFonts w:hint="eastAsia" w:ascii="宋体" w:hAnsi="宋体" w:cs="仿宋"/>
          <w:color w:val="000000" w:themeColor="text1"/>
          <w:sz w:val="24"/>
          <w:highlight w:val="none"/>
          <w14:textFill>
            <w14:solidFill>
              <w14:schemeClr w14:val="tx1"/>
            </w14:solidFill>
          </w14:textFill>
        </w:rPr>
        <w:t>个工作</w:t>
      </w:r>
      <w:r>
        <w:rPr>
          <w:rFonts w:ascii="宋体" w:hAnsi="宋体" w:cs="仿宋"/>
          <w:color w:val="000000" w:themeColor="text1"/>
          <w:sz w:val="24"/>
          <w:highlight w:val="none"/>
          <w14:textFill>
            <w14:solidFill>
              <w14:schemeClr w14:val="tx1"/>
            </w14:solidFill>
          </w14:textFill>
        </w:rPr>
        <w:t>日内</w:t>
      </w:r>
      <w:r>
        <w:rPr>
          <w:rFonts w:hint="eastAsia" w:ascii="宋体" w:hAnsi="宋体" w:cs="仿宋"/>
          <w:color w:val="000000" w:themeColor="text1"/>
          <w:sz w:val="24"/>
          <w:highlight w:val="none"/>
          <w14:textFill>
            <w14:solidFill>
              <w14:schemeClr w14:val="tx1"/>
            </w14:solidFill>
          </w14:textFill>
        </w:rPr>
        <w:t>向甲方</w:t>
      </w:r>
      <w:r>
        <w:rPr>
          <w:rFonts w:ascii="宋体" w:hAnsi="宋体" w:cs="仿宋"/>
          <w:color w:val="000000" w:themeColor="text1"/>
          <w:sz w:val="24"/>
          <w:highlight w:val="none"/>
          <w14:textFill>
            <w14:solidFill>
              <w14:schemeClr w14:val="tx1"/>
            </w14:solidFill>
          </w14:textFill>
        </w:rPr>
        <w:t>提</w:t>
      </w:r>
      <w:r>
        <w:rPr>
          <w:rFonts w:hint="eastAsia" w:ascii="宋体" w:hAnsi="宋体" w:cs="仿宋"/>
          <w:color w:val="000000" w:themeColor="text1"/>
          <w:sz w:val="24"/>
          <w:highlight w:val="none"/>
          <w14:textFill>
            <w14:solidFill>
              <w14:schemeClr w14:val="tx1"/>
            </w14:solidFill>
          </w14:textFill>
        </w:rPr>
        <w:t>交</w:t>
      </w:r>
      <w:r>
        <w:rPr>
          <w:rFonts w:ascii="宋体" w:hAnsi="宋体" w:cs="仿宋"/>
          <w:color w:val="000000" w:themeColor="text1"/>
          <w:sz w:val="24"/>
          <w:highlight w:val="none"/>
          <w14:textFill>
            <w14:solidFill>
              <w14:schemeClr w14:val="tx1"/>
            </w14:solidFill>
          </w14:textFill>
        </w:rPr>
        <w:t>等额有效的增值税专用发票</w:t>
      </w:r>
      <w:r>
        <w:rPr>
          <w:rFonts w:hint="eastAsia" w:ascii="宋体" w:hAnsi="宋体" w:cs="仿宋"/>
          <w:color w:val="000000" w:themeColor="text1"/>
          <w:sz w:val="24"/>
          <w:highlight w:val="none"/>
          <w14:textFill>
            <w14:solidFill>
              <w14:schemeClr w14:val="tx1"/>
            </w14:solidFill>
          </w14:textFill>
        </w:rPr>
        <w:t>及支付申请。</w:t>
      </w:r>
    </w:p>
    <w:p>
      <w:pPr>
        <w:numPr>
          <w:ilvl w:val="0"/>
          <w:numId w:val="6"/>
        </w:numPr>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如乙方未按时提交请款材料，或提交的请款资料或增值税专用发票不符合合同约定或税法要求，甲方有权顺延付款时间且不视为甲方违约，一切不利后果由乙方自行承担。</w:t>
      </w:r>
    </w:p>
    <w:p>
      <w:pPr>
        <w:numPr>
          <w:ilvl w:val="0"/>
          <w:numId w:val="6"/>
        </w:numPr>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付款期间如因特殊情况需调整，由甲乙方协商处理。</w:t>
      </w:r>
    </w:p>
    <w:p>
      <w:pPr>
        <w:numPr>
          <w:ilvl w:val="0"/>
          <w:numId w:val="6"/>
        </w:numPr>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color w:val="000000" w:themeColor="text1"/>
          <w:sz w:val="24"/>
          <w:highlight w:val="none"/>
          <w14:textFill>
            <w14:solidFill>
              <w14:schemeClr w14:val="tx1"/>
            </w14:solidFill>
          </w14:textFill>
        </w:rPr>
        <w:t>收款方、出具发票方、合同</w:t>
      </w:r>
      <w:r>
        <w:rPr>
          <w:rFonts w:hint="eastAsia" w:ascii="宋体" w:hAnsi="宋体" w:cs="仿宋"/>
          <w:color w:val="000000" w:themeColor="text1"/>
          <w:sz w:val="24"/>
          <w:highlight w:val="none"/>
          <w14:textFill>
            <w14:solidFill>
              <w14:schemeClr w14:val="tx1"/>
            </w14:solidFill>
          </w14:textFill>
        </w:rPr>
        <w:t>乙方</w:t>
      </w:r>
      <w:r>
        <w:rPr>
          <w:rFonts w:ascii="宋体" w:hAnsi="宋体" w:cs="仿宋"/>
          <w:color w:val="000000" w:themeColor="text1"/>
          <w:sz w:val="24"/>
          <w:highlight w:val="none"/>
          <w14:textFill>
            <w14:solidFill>
              <w14:schemeClr w14:val="tx1"/>
            </w14:solidFill>
          </w14:textFill>
        </w:rPr>
        <w:t>均必须与</w:t>
      </w:r>
      <w:r>
        <w:rPr>
          <w:rFonts w:hint="eastAsia" w:ascii="宋体" w:hAnsi="宋体" w:cs="仿宋"/>
          <w:color w:val="000000" w:themeColor="text1"/>
          <w:sz w:val="24"/>
          <w:highlight w:val="none"/>
          <w14:textFill>
            <w14:solidFill>
              <w14:schemeClr w14:val="tx1"/>
            </w14:solidFill>
          </w14:textFill>
        </w:rPr>
        <w:t>乙方</w:t>
      </w:r>
      <w:r>
        <w:rPr>
          <w:rFonts w:ascii="宋体" w:hAnsi="宋体" w:cs="仿宋"/>
          <w:color w:val="000000" w:themeColor="text1"/>
          <w:sz w:val="24"/>
          <w:highlight w:val="none"/>
          <w14:textFill>
            <w14:solidFill>
              <w14:schemeClr w14:val="tx1"/>
            </w14:solidFill>
          </w14:textFill>
        </w:rPr>
        <w:t>名称一致</w:t>
      </w:r>
      <w:r>
        <w:rPr>
          <w:rFonts w:ascii="宋体" w:hAnsi="宋体" w:cs="仿宋"/>
          <w:bCs/>
          <w:color w:val="000000" w:themeColor="text1"/>
          <w:sz w:val="24"/>
          <w:highlight w:val="none"/>
          <w14:textFill>
            <w14:solidFill>
              <w14:schemeClr w14:val="tx1"/>
            </w14:solidFill>
          </w14:textFill>
        </w:rPr>
        <w:t>。</w:t>
      </w:r>
    </w:p>
    <w:p>
      <w:pPr>
        <w:numPr>
          <w:ilvl w:val="0"/>
          <w:numId w:val="6"/>
        </w:numPr>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的收款账户信息：</w:t>
      </w:r>
    </w:p>
    <w:p>
      <w:pPr>
        <w:pStyle w:val="10"/>
        <w:spacing w:line="360" w:lineRule="auto"/>
        <w:ind w:firstLine="480" w:firstLineChars="200"/>
        <w:rPr>
          <w:rFonts w:cs="仿宋"/>
          <w:bCs/>
          <w:color w:val="000000" w:themeColor="text1"/>
          <w:sz w:val="24"/>
          <w:highlight w:val="none"/>
          <w14:textFill>
            <w14:solidFill>
              <w14:schemeClr w14:val="tx1"/>
            </w14:solidFill>
          </w14:textFill>
        </w:rPr>
      </w:pPr>
      <w:r>
        <w:rPr>
          <w:rFonts w:cs="仿宋"/>
          <w:bCs/>
          <w:color w:val="000000" w:themeColor="text1"/>
          <w:kern w:val="2"/>
          <w:sz w:val="24"/>
          <w:highlight w:val="none"/>
          <w14:textFill>
            <w14:solidFill>
              <w14:schemeClr w14:val="tx1"/>
            </w14:solidFill>
          </w14:textFill>
        </w:rPr>
        <w:t>账户名称：</w:t>
      </w:r>
    </w:p>
    <w:p>
      <w:pPr>
        <w:pStyle w:val="10"/>
        <w:spacing w:line="360" w:lineRule="auto"/>
        <w:ind w:firstLine="480" w:firstLineChars="200"/>
        <w:rPr>
          <w:rFonts w:cs="仿宋"/>
          <w:bCs/>
          <w:color w:val="000000" w:themeColor="text1"/>
          <w:sz w:val="24"/>
          <w:highlight w:val="none"/>
          <w14:textFill>
            <w14:solidFill>
              <w14:schemeClr w14:val="tx1"/>
            </w14:solidFill>
          </w14:textFill>
        </w:rPr>
      </w:pPr>
      <w:r>
        <w:rPr>
          <w:rFonts w:cs="仿宋"/>
          <w:bCs/>
          <w:color w:val="000000" w:themeColor="text1"/>
          <w:kern w:val="2"/>
          <w:sz w:val="24"/>
          <w:highlight w:val="none"/>
          <w14:textFill>
            <w14:solidFill>
              <w14:schemeClr w14:val="tx1"/>
            </w14:solidFill>
          </w14:textFill>
        </w:rPr>
        <w:t>开户银行：</w:t>
      </w:r>
    </w:p>
    <w:p>
      <w:pPr>
        <w:pStyle w:val="10"/>
        <w:spacing w:line="360" w:lineRule="auto"/>
        <w:ind w:firstLine="480" w:firstLineChars="200"/>
        <w:rPr>
          <w:rFonts w:cs="仿宋"/>
          <w:bCs/>
          <w:color w:val="000000" w:themeColor="text1"/>
          <w:sz w:val="24"/>
          <w:highlight w:val="none"/>
          <w14:textFill>
            <w14:solidFill>
              <w14:schemeClr w14:val="tx1"/>
            </w14:solidFill>
          </w14:textFill>
        </w:rPr>
      </w:pPr>
      <w:r>
        <w:rPr>
          <w:rFonts w:cs="仿宋"/>
          <w:bCs/>
          <w:color w:val="000000" w:themeColor="text1"/>
          <w:kern w:val="2"/>
          <w:sz w:val="24"/>
          <w:highlight w:val="none"/>
          <w14:textFill>
            <w14:solidFill>
              <w14:schemeClr w14:val="tx1"/>
            </w14:solidFill>
          </w14:textFill>
        </w:rPr>
        <w:t>银行账号：</w:t>
      </w:r>
    </w:p>
    <w:p>
      <w:pPr>
        <w:numPr>
          <w:ilvl w:val="0"/>
          <w:numId w:val="3"/>
        </w:numPr>
        <w:spacing w:line="360" w:lineRule="auto"/>
        <w:ind w:firstLine="0"/>
        <w:rPr>
          <w:rFonts w:ascii="宋体" w:hAnsi="宋体" w:cs="仿宋"/>
          <w:b/>
          <w:color w:val="000000" w:themeColor="text1"/>
          <w:sz w:val="24"/>
          <w:highlight w:val="none"/>
          <w14:textFill>
            <w14:solidFill>
              <w14:schemeClr w14:val="tx1"/>
            </w14:solidFill>
          </w14:textFill>
        </w:rPr>
      </w:pPr>
      <w:r>
        <w:rPr>
          <w:rFonts w:hint="eastAsia" w:ascii="宋体" w:hAnsi="宋体" w:cs="仿宋"/>
          <w:b/>
          <w:color w:val="000000" w:themeColor="text1"/>
          <w:sz w:val="24"/>
          <w:highlight w:val="none"/>
          <w:lang w:val="en-US" w:eastAsia="zh-CN"/>
          <w14:textFill>
            <w14:solidFill>
              <w14:schemeClr w14:val="tx1"/>
            </w14:solidFill>
          </w14:textFill>
        </w:rPr>
        <w:t>乙方</w:t>
      </w:r>
      <w:r>
        <w:rPr>
          <w:rFonts w:ascii="宋体" w:hAnsi="宋体" w:cs="仿宋"/>
          <w:b/>
          <w:color w:val="000000" w:themeColor="text1"/>
          <w:sz w:val="24"/>
          <w:highlight w:val="none"/>
          <w14:textFill>
            <w14:solidFill>
              <w14:schemeClr w14:val="tx1"/>
            </w14:solidFill>
          </w14:textFill>
        </w:rPr>
        <w:t>服务内容和要求</w:t>
      </w:r>
    </w:p>
    <w:p>
      <w:pPr>
        <w:numPr>
          <w:ilvl w:val="0"/>
          <w:numId w:val="7"/>
        </w:numPr>
        <w:adjustRightInd w:val="0"/>
        <w:snapToGrid w:val="0"/>
        <w:spacing w:line="360" w:lineRule="auto"/>
        <w:rPr>
          <w:rFonts w:ascii="宋体" w:hAnsi="宋体" w:cs="仿宋"/>
          <w:b/>
          <w:color w:val="000000" w:themeColor="text1"/>
          <w:sz w:val="24"/>
          <w:highlight w:val="none"/>
          <w14:textFill>
            <w14:solidFill>
              <w14:schemeClr w14:val="tx1"/>
            </w14:solidFill>
          </w14:textFill>
        </w:rPr>
      </w:pPr>
      <w:r>
        <w:rPr>
          <w:rFonts w:ascii="宋体" w:hAnsi="宋体" w:cs="仿宋"/>
          <w:b/>
          <w:color w:val="000000" w:themeColor="text1"/>
          <w:sz w:val="24"/>
          <w:highlight w:val="none"/>
          <w14:textFill>
            <w14:solidFill>
              <w14:schemeClr w14:val="tx1"/>
            </w14:solidFill>
          </w14:textFill>
        </w:rPr>
        <w:t>服务内容</w:t>
      </w:r>
    </w:p>
    <w:p>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根据</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派发的工作任务书，完成服务区域内水、电、气设备接驳并提供活动期间驻场服务等。</w:t>
      </w:r>
    </w:p>
    <w:p>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负责保障展馆布展、开展、撤展期间现场用电、用水、用气等安全。</w:t>
      </w:r>
    </w:p>
    <w:p>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根据</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要求提供展会或活动开展所需的材料设备安装及租赁服务。</w:t>
      </w:r>
    </w:p>
    <w:p>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当甲供的某一型号电箱数量不能满足展会/活动需求使用时，</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可调用甲供的其他类型电箱进行配套安装，且不增加额外差额费用。</w:t>
      </w:r>
    </w:p>
    <w:p>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在展会/活动的所有服务费用统一按照《展会服务需求确认表》进行</w:t>
      </w:r>
      <w:r>
        <w:rPr>
          <w:rFonts w:hint="eastAsia" w:ascii="宋体" w:hAnsi="宋体" w:cs="仿宋"/>
          <w:bCs/>
          <w:color w:val="000000" w:themeColor="text1"/>
          <w:sz w:val="24"/>
          <w:highlight w:val="none"/>
          <w:lang w:eastAsia="zh-CN"/>
          <w14:textFill>
            <w14:solidFill>
              <w14:schemeClr w14:val="tx1"/>
            </w14:solidFill>
          </w14:textFill>
        </w:rPr>
        <w:t>统计施工，</w:t>
      </w:r>
      <w:r>
        <w:rPr>
          <w:rFonts w:hint="eastAsia" w:ascii="宋体" w:hAnsi="宋体" w:cs="仿宋"/>
          <w:bCs/>
          <w:color w:val="000000" w:themeColor="text1"/>
          <w:sz w:val="24"/>
          <w:highlight w:val="none"/>
          <w:lang w:val="en-US" w:eastAsia="zh-CN"/>
          <w14:textFill>
            <w14:solidFill>
              <w14:schemeClr w14:val="tx1"/>
            </w14:solidFill>
          </w14:textFill>
        </w:rPr>
        <w:t>本次计费方式采用全场（1-11号馆、东西登录厅、会议中心）展会、会议中心会议含税包工包料</w:t>
      </w:r>
      <w:r>
        <w:rPr>
          <w:rFonts w:hint="eastAsia" w:ascii="宋体" w:hAnsi="宋体" w:cs="仿宋"/>
          <w:bCs/>
          <w:strike w:val="0"/>
          <w:color w:val="000000" w:themeColor="text1"/>
          <w:sz w:val="24"/>
          <w:highlight w:val="none"/>
          <w:lang w:val="en-US" w:eastAsia="zh-CN"/>
          <w14:textFill>
            <w14:solidFill>
              <w14:schemeClr w14:val="tx1"/>
            </w14:solidFill>
          </w14:textFill>
        </w:rPr>
        <w:t>总包干</w:t>
      </w:r>
      <w:r>
        <w:rPr>
          <w:rFonts w:hint="eastAsia" w:ascii="宋体" w:hAnsi="宋体" w:cs="仿宋"/>
          <w:bCs/>
          <w:color w:val="000000" w:themeColor="text1"/>
          <w:sz w:val="24"/>
          <w:highlight w:val="none"/>
          <w:lang w:val="en-US" w:eastAsia="zh-CN"/>
          <w14:textFill>
            <w14:solidFill>
              <w14:schemeClr w14:val="tx1"/>
            </w14:solidFill>
          </w14:textFill>
        </w:rPr>
        <w:t>价    万元整</w:t>
      </w:r>
      <w:r>
        <w:rPr>
          <w:rFonts w:ascii="宋体" w:hAnsi="宋体" w:cs="仿宋"/>
          <w:bCs/>
          <w:color w:val="000000" w:themeColor="text1"/>
          <w:sz w:val="24"/>
          <w:highlight w:val="none"/>
          <w14:textFill>
            <w14:solidFill>
              <w14:schemeClr w14:val="tx1"/>
            </w14:solidFill>
          </w14:textFill>
        </w:rPr>
        <w:t>。</w:t>
      </w:r>
    </w:p>
    <w:p>
      <w:pPr>
        <w:numPr>
          <w:ilvl w:val="0"/>
          <w:numId w:val="8"/>
        </w:numPr>
        <w:adjustRightInd w:val="0"/>
        <w:snapToGrid w:val="0"/>
        <w:spacing w:line="360" w:lineRule="auto"/>
        <w:rPr>
          <w:rFonts w:ascii="宋体" w:hAnsi="宋体" w:cs="仿宋"/>
          <w:b/>
          <w:color w:val="000000" w:themeColor="text1"/>
          <w:sz w:val="24"/>
          <w:highlight w:val="none"/>
          <w14:textFill>
            <w14:solidFill>
              <w14:schemeClr w14:val="tx1"/>
            </w14:solidFill>
          </w14:textFill>
        </w:rPr>
      </w:pPr>
      <w:r>
        <w:rPr>
          <w:rFonts w:ascii="宋体" w:hAnsi="宋体" w:cs="仿宋"/>
          <w:b/>
          <w:color w:val="000000" w:themeColor="text1"/>
          <w:sz w:val="24"/>
          <w:highlight w:val="none"/>
          <w14:textFill>
            <w14:solidFill>
              <w14:schemeClr w14:val="tx1"/>
            </w14:solidFill>
          </w14:textFill>
        </w:rPr>
        <w:t>服务要求：</w:t>
      </w:r>
    </w:p>
    <w:p>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根据工作任务书要求，在开展服务期间，须派驻一名现场负责人，同时每个展馆至少配备</w:t>
      </w:r>
      <w:r>
        <w:rPr>
          <w:rFonts w:hint="eastAsia" w:ascii="宋体" w:hAnsi="宋体" w:cs="仿宋"/>
          <w:bCs/>
          <w:color w:val="000000" w:themeColor="text1"/>
          <w:sz w:val="24"/>
          <w:highlight w:val="none"/>
          <w:lang w:val="en-US" w:eastAsia="zh-CN"/>
          <w14:textFill>
            <w14:solidFill>
              <w14:schemeClr w14:val="tx1"/>
            </w14:solidFill>
          </w14:textFill>
        </w:rPr>
        <w:t>6</w:t>
      </w:r>
      <w:r>
        <w:rPr>
          <w:rFonts w:ascii="宋体" w:hAnsi="宋体" w:cs="仿宋"/>
          <w:bCs/>
          <w:color w:val="000000" w:themeColor="text1"/>
          <w:sz w:val="24"/>
          <w:highlight w:val="none"/>
          <w14:textFill>
            <w14:solidFill>
              <w14:schemeClr w14:val="tx1"/>
            </w14:solidFill>
          </w14:textFill>
        </w:rPr>
        <w:t>名或以上的工作人员，负责现场服务、监督、检查及应急事件的处理（实际配备数量以</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要求为准，按实结算）</w:t>
      </w:r>
      <w:r>
        <w:rPr>
          <w:rFonts w:hint="eastAsia" w:ascii="宋体" w:hAnsi="宋体" w:cs="仿宋"/>
          <w:bCs/>
          <w:color w:val="000000" w:themeColor="text1"/>
          <w:sz w:val="24"/>
          <w:highlight w:val="none"/>
          <w14:textFill>
            <w14:solidFill>
              <w14:schemeClr w14:val="tx1"/>
            </w14:solidFill>
          </w14:textFill>
        </w:rPr>
        <w:t>，</w:t>
      </w:r>
      <w:r>
        <w:rPr>
          <w:rFonts w:ascii="宋体" w:hAnsi="宋体" w:cs="仿宋"/>
          <w:bCs/>
          <w:color w:val="000000" w:themeColor="text1"/>
          <w:sz w:val="24"/>
          <w:highlight w:val="none"/>
          <w14:textFill>
            <w14:solidFill>
              <w14:schemeClr w14:val="tx1"/>
            </w14:solidFill>
          </w14:textFill>
        </w:rPr>
        <w:t>其中，涉及电力施工工作的工作人员必须</w:t>
      </w:r>
      <w:r>
        <w:rPr>
          <w:rFonts w:hint="eastAsia" w:ascii="宋体" w:hAnsi="宋体" w:cs="仿宋"/>
          <w:bCs/>
          <w:color w:val="000000" w:themeColor="text1"/>
          <w:sz w:val="24"/>
          <w:highlight w:val="none"/>
          <w:lang w:val="en-US" w:eastAsia="zh-CN"/>
          <w14:textFill>
            <w14:solidFill>
              <w14:schemeClr w14:val="tx1"/>
            </w14:solidFill>
          </w14:textFill>
        </w:rPr>
        <w:t>为</w:t>
      </w:r>
      <w:r>
        <w:rPr>
          <w:rFonts w:ascii="宋体" w:hAnsi="宋体" w:cs="仿宋"/>
          <w:bCs/>
          <w:color w:val="000000" w:themeColor="text1"/>
          <w:sz w:val="24"/>
          <w:highlight w:val="none"/>
          <w14:textFill>
            <w14:solidFill>
              <w14:schemeClr w14:val="tx1"/>
            </w14:solidFill>
          </w14:textFill>
        </w:rPr>
        <w:t>具有国家相关资格认证的电工。</w:t>
      </w:r>
    </w:p>
    <w:p>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必须为现场服务工作人员购买人身意外保险，保险有效期须包含整个服务期（含布</w:t>
      </w:r>
      <w:r>
        <w:rPr>
          <w:rFonts w:hint="eastAsia" w:ascii="宋体" w:hAnsi="宋体" w:cs="仿宋"/>
          <w:bCs/>
          <w:color w:val="000000" w:themeColor="text1"/>
          <w:sz w:val="24"/>
          <w:highlight w:val="none"/>
          <w14:textFill>
            <w14:solidFill>
              <w14:schemeClr w14:val="tx1"/>
            </w14:solidFill>
          </w14:textFill>
        </w:rPr>
        <w:t>展</w:t>
      </w:r>
      <w:r>
        <w:rPr>
          <w:rFonts w:ascii="宋体" w:hAnsi="宋体" w:cs="仿宋"/>
          <w:bCs/>
          <w:color w:val="000000" w:themeColor="text1"/>
          <w:sz w:val="24"/>
          <w:highlight w:val="none"/>
          <w14:textFill>
            <w14:solidFill>
              <w14:schemeClr w14:val="tx1"/>
            </w14:solidFill>
          </w14:textFill>
        </w:rPr>
        <w:t>、开</w:t>
      </w:r>
      <w:r>
        <w:rPr>
          <w:rFonts w:hint="eastAsia" w:ascii="宋体" w:hAnsi="宋体" w:cs="仿宋"/>
          <w:bCs/>
          <w:color w:val="000000" w:themeColor="text1"/>
          <w:sz w:val="24"/>
          <w:highlight w:val="none"/>
          <w14:textFill>
            <w14:solidFill>
              <w14:schemeClr w14:val="tx1"/>
            </w14:solidFill>
          </w14:textFill>
        </w:rPr>
        <w:t>展、</w:t>
      </w:r>
      <w:r>
        <w:rPr>
          <w:rFonts w:ascii="宋体" w:hAnsi="宋体" w:cs="仿宋"/>
          <w:bCs/>
          <w:color w:val="000000" w:themeColor="text1"/>
          <w:sz w:val="24"/>
          <w:highlight w:val="none"/>
          <w14:textFill>
            <w14:solidFill>
              <w14:schemeClr w14:val="tx1"/>
            </w14:solidFill>
          </w14:textFill>
        </w:rPr>
        <w:t>撤展）。</w:t>
      </w:r>
    </w:p>
    <w:p>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应对各展位的安装提供优化建议，并积极跟进现场安装及沟通协调工作。</w:t>
      </w:r>
    </w:p>
    <w:p>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对因自身现场技术服务不到位、安全管理不善等原因，而导致发生的安全事故，由</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承担所有的法律和经济责任；</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有权因上述原因导致的损失，保留追诉的权利。</w:t>
      </w:r>
    </w:p>
    <w:p>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施工前，须对施工人员进行相关专业培训和安全教育并形成书面记录，以保证其施工人员的服务水平和安全意识满足现场需求。</w:t>
      </w:r>
    </w:p>
    <w:p>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应有义务保护场馆设施、设备，避免发生损坏、失窃等情况。</w:t>
      </w:r>
    </w:p>
    <w:p>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须严格遵守</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各项管理制度，服从</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指定的管理人员（姓名：</w:t>
      </w:r>
      <w:r>
        <w:rPr>
          <w:rFonts w:ascii="宋体" w:hAnsi="宋体" w:cs="仿宋"/>
          <w:bCs/>
          <w:color w:val="000000" w:themeColor="text1"/>
          <w:sz w:val="24"/>
          <w:highlight w:val="none"/>
          <w:u w:val="single"/>
          <w14:textFill>
            <w14:solidFill>
              <w14:schemeClr w14:val="tx1"/>
            </w14:solidFill>
          </w14:textFill>
        </w:rPr>
        <w:t xml:space="preserve">       </w:t>
      </w:r>
      <w:r>
        <w:rPr>
          <w:rFonts w:ascii="宋体" w:hAnsi="宋体" w:cs="仿宋"/>
          <w:bCs/>
          <w:color w:val="000000" w:themeColor="text1"/>
          <w:sz w:val="24"/>
          <w:highlight w:val="none"/>
          <w14:textFill>
            <w14:solidFill>
              <w14:schemeClr w14:val="tx1"/>
            </w14:solidFill>
          </w14:textFill>
        </w:rPr>
        <w:t xml:space="preserve"> ，联系电话：</w:t>
      </w:r>
      <w:r>
        <w:rPr>
          <w:rFonts w:ascii="宋体" w:hAnsi="宋体" w:cs="仿宋"/>
          <w:bCs/>
          <w:color w:val="000000" w:themeColor="text1"/>
          <w:sz w:val="24"/>
          <w:highlight w:val="none"/>
          <w:u w:val="single"/>
          <w14:textFill>
            <w14:solidFill>
              <w14:schemeClr w14:val="tx1"/>
            </w14:solidFill>
          </w14:textFill>
        </w:rPr>
        <w:t xml:space="preserve">           </w:t>
      </w:r>
      <w:r>
        <w:rPr>
          <w:rFonts w:ascii="宋体" w:hAnsi="宋体" w:cs="仿宋"/>
          <w:bCs/>
          <w:color w:val="000000" w:themeColor="text1"/>
          <w:sz w:val="24"/>
          <w:highlight w:val="none"/>
          <w14:textFill>
            <w14:solidFill>
              <w14:schemeClr w14:val="tx1"/>
            </w14:solidFill>
          </w14:textFill>
        </w:rPr>
        <w:t>，邮箱：</w:t>
      </w:r>
      <w:r>
        <w:rPr>
          <w:rFonts w:ascii="宋体" w:hAnsi="宋体" w:cs="仿宋"/>
          <w:bCs/>
          <w:color w:val="000000" w:themeColor="text1"/>
          <w:sz w:val="24"/>
          <w:highlight w:val="none"/>
          <w:u w:val="single"/>
          <w14:textFill>
            <w14:solidFill>
              <w14:schemeClr w14:val="tx1"/>
            </w14:solidFill>
          </w14:textFill>
        </w:rPr>
        <w:t xml:space="preserve">             </w:t>
      </w:r>
      <w:r>
        <w:rPr>
          <w:rFonts w:ascii="宋体" w:hAnsi="宋体" w:cs="仿宋"/>
          <w:bCs/>
          <w:color w:val="000000" w:themeColor="text1"/>
          <w:sz w:val="24"/>
          <w:highlight w:val="none"/>
          <w14:textFill>
            <w14:solidFill>
              <w14:schemeClr w14:val="tx1"/>
            </w14:solidFill>
          </w14:textFill>
        </w:rPr>
        <w:t>）的安排。</w:t>
      </w:r>
    </w:p>
    <w:p>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必须按时、按质、按量完成</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下达的工作任务。</w:t>
      </w:r>
    </w:p>
    <w:p>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须严格按照已批复的图纸进行施工和监管，不得私自更改预定方案。如遇特殊情况，需更改预定方案，应经</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相关部门审核批准。因不按图施工而造成供电故障的，</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将视现场情况保留向</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追究责任的权利。</w:t>
      </w:r>
    </w:p>
    <w:p>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在展会或活动进场前及结束后，需做好</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自有器材设备的清点、移交工作；服务期间应做好配电箱及配套电缆、综合箱、次管沟盖板的使用监督及保护，确保展会或活动结束后器材设备无损整洁。</w:t>
      </w:r>
    </w:p>
    <w:p>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布/撤展期电箱需要完成施工的时间</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须在</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规定的时间完成。</w:t>
      </w:r>
    </w:p>
    <w:p>
      <w:pPr>
        <w:numPr>
          <w:ilvl w:val="0"/>
          <w:numId w:val="8"/>
        </w:numPr>
        <w:adjustRightInd w:val="0"/>
        <w:snapToGrid w:val="0"/>
        <w:spacing w:line="360" w:lineRule="auto"/>
        <w:rPr>
          <w:rFonts w:ascii="宋体" w:hAnsi="宋体" w:cs="仿宋"/>
          <w:b/>
          <w:color w:val="000000" w:themeColor="text1"/>
          <w:sz w:val="24"/>
          <w:highlight w:val="none"/>
          <w14:textFill>
            <w14:solidFill>
              <w14:schemeClr w14:val="tx1"/>
            </w14:solidFill>
          </w14:textFill>
        </w:rPr>
      </w:pPr>
      <w:r>
        <w:rPr>
          <w:rFonts w:ascii="宋体" w:hAnsi="宋体" w:cs="仿宋"/>
          <w:b/>
          <w:color w:val="000000" w:themeColor="text1"/>
          <w:sz w:val="24"/>
          <w:highlight w:val="none"/>
          <w14:textFill>
            <w14:solidFill>
              <w14:schemeClr w14:val="tx1"/>
            </w14:solidFill>
          </w14:textFill>
        </w:rPr>
        <w:t>其它要求：</w:t>
      </w:r>
    </w:p>
    <w:p>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施工方案的总体说明：</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须对项目有全面</w:t>
      </w:r>
      <w:r>
        <w:rPr>
          <w:rFonts w:hint="eastAsia" w:ascii="宋体" w:hAnsi="宋体" w:cs="仿宋"/>
          <w:bCs/>
          <w:color w:val="000000" w:themeColor="text1"/>
          <w:sz w:val="24"/>
          <w:highlight w:val="none"/>
          <w14:textFill>
            <w14:solidFill>
              <w14:schemeClr w14:val="tx1"/>
            </w14:solidFill>
          </w14:textFill>
        </w:rPr>
        <w:t>地</w:t>
      </w:r>
      <w:r>
        <w:rPr>
          <w:rFonts w:ascii="宋体" w:hAnsi="宋体" w:cs="仿宋"/>
          <w:bCs/>
          <w:color w:val="000000" w:themeColor="text1"/>
          <w:sz w:val="24"/>
          <w:highlight w:val="none"/>
          <w14:textFill>
            <w14:solidFill>
              <w14:schemeClr w14:val="tx1"/>
            </w14:solidFill>
          </w14:textFill>
        </w:rPr>
        <w:t>了解及对施工的重点、难点、疑点进行分析；服务期间应安排定期或不定期进行巡查、检测、故障排除、及时响应用户需求，</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的组织实施思路清晰合理、人员分工准确合理。</w:t>
      </w:r>
    </w:p>
    <w:p>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投入本项目的技术团队要求：</w:t>
      </w:r>
    </w:p>
    <w:p>
      <w:pPr>
        <w:numPr>
          <w:ilvl w:val="2"/>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投入本项目的涉及用电操作的相关施工人员必须持证上岗，每次项目施工前需提供相关人员证件经</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审核后才可上岗。证书按具体工作要求提供，包括但不限于：</w:t>
      </w:r>
      <w:r>
        <w:rPr>
          <w:rFonts w:hint="eastAsia" w:ascii="宋体" w:hAnsi="宋体" w:cs="仿宋"/>
          <w:bCs/>
          <w:color w:val="000000" w:themeColor="text1"/>
          <w:sz w:val="24"/>
          <w:highlight w:val="none"/>
          <w:lang w:val="en-US" w:eastAsia="zh-CN"/>
          <w14:textFill>
            <w14:solidFill>
              <w14:schemeClr w14:val="tx1"/>
            </w14:solidFill>
          </w14:textFill>
        </w:rPr>
        <w:t>应急管理局</w:t>
      </w:r>
      <w:r>
        <w:rPr>
          <w:rFonts w:ascii="宋体" w:hAnsi="宋体" w:cs="仿宋"/>
          <w:bCs/>
          <w:color w:val="000000" w:themeColor="text1"/>
          <w:sz w:val="24"/>
          <w:highlight w:val="none"/>
          <w14:textFill>
            <w14:solidFill>
              <w14:schemeClr w14:val="tx1"/>
            </w14:solidFill>
          </w14:textFill>
        </w:rPr>
        <w:t>监制颁发特种作业操作证（低压电工作业证），</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人员的证件（身份证、低压电工作业证</w:t>
      </w:r>
      <w:r>
        <w:rPr>
          <w:rFonts w:hint="eastAsia" w:ascii="宋体" w:hAnsi="宋体" w:cs="仿宋"/>
          <w:bCs/>
          <w:color w:val="000000" w:themeColor="text1"/>
          <w:sz w:val="24"/>
          <w:highlight w:val="none"/>
          <w:lang w:val="en-US" w:eastAsia="zh-CN"/>
          <w14:textFill>
            <w14:solidFill>
              <w14:schemeClr w14:val="tx1"/>
            </w14:solidFill>
          </w14:textFill>
        </w:rPr>
        <w:t>或叉车证</w:t>
      </w:r>
      <w:r>
        <w:rPr>
          <w:rFonts w:ascii="宋体" w:hAnsi="宋体" w:cs="仿宋"/>
          <w:bCs/>
          <w:color w:val="000000" w:themeColor="text1"/>
          <w:sz w:val="24"/>
          <w:highlight w:val="none"/>
          <w14:textFill>
            <w14:solidFill>
              <w14:schemeClr w14:val="tx1"/>
            </w14:solidFill>
          </w14:textFill>
        </w:rPr>
        <w:t>）须提供复印件给</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备案。</w:t>
      </w:r>
    </w:p>
    <w:p>
      <w:pPr>
        <w:numPr>
          <w:ilvl w:val="2"/>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组建项目服务组，提供清晰项目组分工架构，架构需配置安全管理员，</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审核后备案。</w:t>
      </w:r>
    </w:p>
    <w:p>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对于违反</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管理、安全制度的行为，</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有权立即制止。对于严重违反</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管理、安全制度或有不良行为的人员，</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有权要求</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立即更换。</w:t>
      </w:r>
    </w:p>
    <w:p>
      <w:pPr>
        <w:numPr>
          <w:ilvl w:val="1"/>
          <w:numId w:val="8"/>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以上投入本项目的技术人员及现场负责人未经</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书面同意不得随意更换，当因技术人员变动出现技术服务不满足上述服务要求的，</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应在</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的限期内整改至符合合同要求，否则，</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有权根据情况开具整改通知书、在</w:t>
      </w:r>
      <w:r>
        <w:rPr>
          <w:rFonts w:ascii="宋体" w:hAnsi="宋体" w:cs="仿宋"/>
          <w:color w:val="000000" w:themeColor="text1"/>
          <w:sz w:val="24"/>
          <w:highlight w:val="none"/>
          <w14:textFill>
            <w14:solidFill>
              <w14:schemeClr w14:val="tx1"/>
            </w14:solidFill>
          </w14:textFill>
        </w:rPr>
        <w:t>《展会水电现场外包服务评价表》</w:t>
      </w:r>
      <w:r>
        <w:rPr>
          <w:rFonts w:ascii="宋体" w:hAnsi="宋体" w:cs="仿宋"/>
          <w:bCs/>
          <w:color w:val="000000" w:themeColor="text1"/>
          <w:sz w:val="24"/>
          <w:highlight w:val="none"/>
          <w14:textFill>
            <w14:solidFill>
              <w14:schemeClr w14:val="tx1"/>
            </w14:solidFill>
          </w14:textFill>
        </w:rPr>
        <w:t>中进行</w:t>
      </w:r>
      <w:r>
        <w:rPr>
          <w:rFonts w:hint="eastAsia" w:ascii="宋体" w:hAnsi="宋体" w:cs="仿宋"/>
          <w:bCs/>
          <w:color w:val="000000" w:themeColor="text1"/>
          <w:sz w:val="24"/>
          <w:highlight w:val="none"/>
          <w14:textFill>
            <w14:solidFill>
              <w14:schemeClr w14:val="tx1"/>
            </w14:solidFill>
          </w14:textFill>
        </w:rPr>
        <w:t>相</w:t>
      </w:r>
      <w:r>
        <w:rPr>
          <w:rFonts w:ascii="宋体" w:hAnsi="宋体" w:cs="仿宋"/>
          <w:bCs/>
          <w:color w:val="000000" w:themeColor="text1"/>
          <w:sz w:val="24"/>
          <w:highlight w:val="none"/>
          <w14:textFill>
            <w14:solidFill>
              <w14:schemeClr w14:val="tx1"/>
            </w14:solidFill>
          </w14:textFill>
        </w:rPr>
        <w:t>应的扣分或者解除合同并要求</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承担违约责任。</w:t>
      </w:r>
    </w:p>
    <w:p>
      <w:pPr>
        <w:numPr>
          <w:ilvl w:val="0"/>
          <w:numId w:val="3"/>
        </w:numPr>
        <w:spacing w:line="360" w:lineRule="auto"/>
        <w:ind w:firstLine="0"/>
        <w:rPr>
          <w:rFonts w:ascii="宋体" w:hAnsi="宋体" w:cs="仿宋"/>
          <w:b/>
          <w:color w:val="000000" w:themeColor="text1"/>
          <w:sz w:val="24"/>
          <w:highlight w:val="none"/>
          <w14:textFill>
            <w14:solidFill>
              <w14:schemeClr w14:val="tx1"/>
            </w14:solidFill>
          </w14:textFill>
        </w:rPr>
      </w:pPr>
      <w:r>
        <w:rPr>
          <w:rFonts w:hint="default" w:ascii="宋体" w:hAnsi="宋体" w:cs="仿宋"/>
          <w:b/>
          <w:color w:val="000000" w:themeColor="text1"/>
          <w:sz w:val="24"/>
          <w:highlight w:val="none"/>
          <w14:textFill>
            <w14:solidFill>
              <w14:schemeClr w14:val="tx1"/>
            </w14:solidFill>
          </w14:textFill>
        </w:rPr>
        <w:t>乙方</w:t>
      </w:r>
      <w:r>
        <w:rPr>
          <w:rFonts w:ascii="宋体" w:hAnsi="宋体" w:cs="仿宋"/>
          <w:b/>
          <w:color w:val="000000" w:themeColor="text1"/>
          <w:sz w:val="24"/>
          <w:highlight w:val="none"/>
          <w14:textFill>
            <w14:solidFill>
              <w14:schemeClr w14:val="tx1"/>
            </w14:solidFill>
          </w14:textFill>
        </w:rPr>
        <w:t>物资设备要求</w:t>
      </w:r>
      <w:r>
        <w:rPr>
          <w:rFonts w:hint="eastAsia" w:ascii="宋体" w:hAnsi="宋体" w:cs="仿宋"/>
          <w:b/>
          <w:color w:val="000000" w:themeColor="text1"/>
          <w:sz w:val="24"/>
          <w:highlight w:val="none"/>
          <w:lang w:eastAsia="zh-CN"/>
          <w14:textFill>
            <w14:solidFill>
              <w14:schemeClr w14:val="tx1"/>
            </w14:solidFill>
          </w14:textFill>
        </w:rPr>
        <w:t>（</w:t>
      </w:r>
      <w:r>
        <w:rPr>
          <w:rFonts w:hint="eastAsia" w:ascii="宋体" w:hAnsi="宋体" w:cs="仿宋"/>
          <w:b/>
          <w:color w:val="000000" w:themeColor="text1"/>
          <w:sz w:val="24"/>
          <w:highlight w:val="none"/>
          <w:lang w:val="en-US" w:eastAsia="zh-CN"/>
          <w14:textFill>
            <w14:solidFill>
              <w14:schemeClr w14:val="tx1"/>
            </w14:solidFill>
          </w14:textFill>
        </w:rPr>
        <w:t>超出</w:t>
      </w:r>
      <w:r>
        <w:rPr>
          <w:rFonts w:hint="eastAsia" w:ascii="宋体" w:hAnsi="宋体" w:cs="仿宋"/>
          <w:b/>
          <w:color w:val="000000" w:themeColor="text1"/>
          <w:sz w:val="24"/>
          <w:highlight w:val="none"/>
          <w14:textFill>
            <w14:solidFill>
              <w14:schemeClr w14:val="tx1"/>
            </w14:solidFill>
          </w14:textFill>
        </w:rPr>
        <w:t>甲方</w:t>
      </w:r>
      <w:r>
        <w:rPr>
          <w:rFonts w:hint="eastAsia" w:ascii="宋体" w:hAnsi="宋体" w:cs="仿宋"/>
          <w:b/>
          <w:color w:val="000000" w:themeColor="text1"/>
          <w:sz w:val="24"/>
          <w:highlight w:val="none"/>
          <w:lang w:val="en-US" w:eastAsia="zh-CN"/>
          <w14:textFill>
            <w14:solidFill>
              <w14:schemeClr w14:val="tx1"/>
            </w14:solidFill>
          </w14:textFill>
        </w:rPr>
        <w:t>原有配置物资时</w:t>
      </w:r>
      <w:r>
        <w:rPr>
          <w:rFonts w:hint="eastAsia" w:ascii="宋体" w:hAnsi="宋体" w:cs="仿宋"/>
          <w:b/>
          <w:color w:val="000000" w:themeColor="text1"/>
          <w:sz w:val="24"/>
          <w:highlight w:val="none"/>
          <w:lang w:eastAsia="zh-CN"/>
          <w14:textFill>
            <w14:solidFill>
              <w14:schemeClr w14:val="tx1"/>
            </w14:solidFill>
          </w14:textFill>
        </w:rPr>
        <w:t>）</w:t>
      </w:r>
      <w:r>
        <w:rPr>
          <w:rFonts w:ascii="宋体" w:hAnsi="宋体" w:cs="仿宋"/>
          <w:b/>
          <w:color w:val="000000" w:themeColor="text1"/>
          <w:sz w:val="24"/>
          <w:highlight w:val="none"/>
          <w14:textFill>
            <w14:solidFill>
              <w14:schemeClr w14:val="tx1"/>
            </w14:solidFill>
          </w14:textFill>
        </w:rPr>
        <w:t>：</w:t>
      </w:r>
    </w:p>
    <w:p>
      <w:pPr>
        <w:numPr>
          <w:ilvl w:val="0"/>
          <w:numId w:val="9"/>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物资设备储备：满足6小时内响应并完成</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需求的能力。</w:t>
      </w:r>
    </w:p>
    <w:p>
      <w:pPr>
        <w:numPr>
          <w:ilvl w:val="0"/>
          <w:numId w:val="9"/>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具备电箱：可配送各类满足</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现场使用需求的电箱，包括但不限于</w:t>
      </w:r>
      <w:r>
        <w:rPr>
          <w:rFonts w:hint="eastAsia" w:ascii="宋体" w:hAnsi="宋体" w:cs="仿宋"/>
          <w:bCs/>
          <w:color w:val="000000" w:themeColor="text1"/>
          <w:sz w:val="24"/>
          <w:highlight w:val="none"/>
          <w:lang w:eastAsia="zh-CN"/>
          <w14:textFill>
            <w14:solidFill>
              <w14:schemeClr w14:val="tx1"/>
            </w14:solidFill>
          </w14:textFill>
        </w:rPr>
        <w:t>16A/32A/63A</w:t>
      </w:r>
      <w:r>
        <w:rPr>
          <w:rFonts w:ascii="宋体" w:hAnsi="宋体" w:cs="仿宋"/>
          <w:bCs/>
          <w:color w:val="000000" w:themeColor="text1"/>
          <w:sz w:val="24"/>
          <w:highlight w:val="none"/>
          <w14:textFill>
            <w14:solidFill>
              <w14:schemeClr w14:val="tx1"/>
            </w14:solidFill>
          </w14:textFill>
        </w:rPr>
        <w:t>/125A/200A</w:t>
      </w:r>
      <w:r>
        <w:rPr>
          <w:rFonts w:hint="eastAsia" w:ascii="宋体" w:hAnsi="宋体" w:cs="仿宋"/>
          <w:bCs/>
          <w:color w:val="000000" w:themeColor="text1"/>
          <w:sz w:val="24"/>
          <w:highlight w:val="none"/>
          <w:lang w:eastAsia="zh-CN"/>
          <w14:textFill>
            <w14:solidFill>
              <w14:schemeClr w14:val="tx1"/>
            </w14:solidFill>
          </w14:textFill>
        </w:rPr>
        <w:t>（</w:t>
      </w:r>
      <w:r>
        <w:rPr>
          <w:rFonts w:hint="eastAsia" w:ascii="宋体" w:hAnsi="宋体" w:cs="仿宋"/>
          <w:bCs/>
          <w:color w:val="000000" w:themeColor="text1"/>
          <w:sz w:val="24"/>
          <w:highlight w:val="none"/>
          <w:lang w:val="en-US" w:eastAsia="zh-CN"/>
          <w14:textFill>
            <w14:solidFill>
              <w14:schemeClr w14:val="tx1"/>
            </w14:solidFill>
          </w14:textFill>
        </w:rPr>
        <w:t>220V或380V</w:t>
      </w:r>
      <w:r>
        <w:rPr>
          <w:rFonts w:hint="eastAsia" w:ascii="宋体" w:hAnsi="宋体" w:cs="仿宋"/>
          <w:bCs/>
          <w:color w:val="000000" w:themeColor="text1"/>
          <w:sz w:val="24"/>
          <w:highlight w:val="none"/>
          <w:lang w:eastAsia="zh-CN"/>
          <w14:textFill>
            <w14:solidFill>
              <w14:schemeClr w14:val="tx1"/>
            </w14:solidFill>
          </w14:textFill>
        </w:rPr>
        <w:t>）</w:t>
      </w:r>
      <w:r>
        <w:rPr>
          <w:rFonts w:ascii="宋体" w:hAnsi="宋体" w:cs="仿宋"/>
          <w:bCs/>
          <w:color w:val="000000" w:themeColor="text1"/>
          <w:sz w:val="24"/>
          <w:highlight w:val="none"/>
          <w14:textFill>
            <w14:solidFill>
              <w14:schemeClr w14:val="tx1"/>
            </w14:solidFill>
          </w14:textFill>
        </w:rPr>
        <w:t>等。</w:t>
      </w:r>
    </w:p>
    <w:p>
      <w:pPr>
        <w:numPr>
          <w:ilvl w:val="0"/>
          <w:numId w:val="9"/>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具备电缆：可配送各类满足</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现场使用需求的电缆，包括但不限于</w:t>
      </w:r>
      <w:r>
        <w:rPr>
          <w:rFonts w:hint="eastAsia" w:ascii="宋体" w:hAnsi="宋体" w:cs="仿宋"/>
          <w:bCs/>
          <w:color w:val="000000" w:themeColor="text1"/>
          <w:sz w:val="24"/>
          <w:highlight w:val="none"/>
          <w:lang w:eastAsia="zh-CN"/>
          <w14:textFill>
            <w14:solidFill>
              <w14:schemeClr w14:val="tx1"/>
            </w14:solidFill>
          </w14:textFill>
        </w:rPr>
        <w:t>16A/32A/63A</w:t>
      </w:r>
      <w:r>
        <w:rPr>
          <w:rFonts w:ascii="宋体" w:hAnsi="宋体" w:cs="仿宋"/>
          <w:bCs/>
          <w:color w:val="000000" w:themeColor="text1"/>
          <w:sz w:val="24"/>
          <w:highlight w:val="none"/>
          <w14:textFill>
            <w14:solidFill>
              <w14:schemeClr w14:val="tx1"/>
            </w14:solidFill>
          </w14:textFill>
        </w:rPr>
        <w:t>/125A/200A</w:t>
      </w:r>
      <w:r>
        <w:rPr>
          <w:rFonts w:hint="eastAsia" w:ascii="宋体" w:hAnsi="宋体" w:cs="仿宋"/>
          <w:bCs/>
          <w:color w:val="000000" w:themeColor="text1"/>
          <w:sz w:val="24"/>
          <w:highlight w:val="none"/>
          <w:lang w:eastAsia="zh-CN"/>
          <w14:textFill>
            <w14:solidFill>
              <w14:schemeClr w14:val="tx1"/>
            </w14:solidFill>
          </w14:textFill>
        </w:rPr>
        <w:t>（</w:t>
      </w:r>
      <w:r>
        <w:rPr>
          <w:rFonts w:hint="eastAsia" w:ascii="宋体" w:hAnsi="宋体" w:cs="仿宋"/>
          <w:bCs/>
          <w:color w:val="000000" w:themeColor="text1"/>
          <w:sz w:val="24"/>
          <w:highlight w:val="none"/>
          <w:lang w:val="en-US" w:eastAsia="zh-CN"/>
          <w14:textFill>
            <w14:solidFill>
              <w14:schemeClr w14:val="tx1"/>
            </w14:solidFill>
          </w14:textFill>
        </w:rPr>
        <w:t>220V或380V</w:t>
      </w:r>
      <w:r>
        <w:rPr>
          <w:rFonts w:hint="eastAsia" w:ascii="宋体" w:hAnsi="宋体" w:cs="仿宋"/>
          <w:bCs/>
          <w:color w:val="000000" w:themeColor="text1"/>
          <w:sz w:val="24"/>
          <w:highlight w:val="none"/>
          <w:lang w:eastAsia="zh-CN"/>
          <w14:textFill>
            <w14:solidFill>
              <w14:schemeClr w14:val="tx1"/>
            </w14:solidFill>
          </w14:textFill>
        </w:rPr>
        <w:t>）</w:t>
      </w:r>
      <w:r>
        <w:rPr>
          <w:rFonts w:ascii="宋体" w:hAnsi="宋体" w:cs="仿宋"/>
          <w:bCs/>
          <w:color w:val="000000" w:themeColor="text1"/>
          <w:sz w:val="24"/>
          <w:highlight w:val="none"/>
          <w14:textFill>
            <w14:solidFill>
              <w14:schemeClr w14:val="tx1"/>
            </w14:solidFill>
          </w14:textFill>
        </w:rPr>
        <w:t>等的配套电缆。</w:t>
      </w:r>
    </w:p>
    <w:p>
      <w:pPr>
        <w:numPr>
          <w:ilvl w:val="0"/>
          <w:numId w:val="9"/>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具备</w:t>
      </w:r>
      <w:r>
        <w:rPr>
          <w:rFonts w:hint="eastAsia" w:ascii="宋体" w:hAnsi="宋体" w:cs="仿宋"/>
          <w:bCs/>
          <w:color w:val="000000" w:themeColor="text1"/>
          <w:sz w:val="24"/>
          <w:highlight w:val="none"/>
          <w:lang w:val="en-US" w:eastAsia="zh-CN"/>
          <w14:textFill>
            <w14:solidFill>
              <w14:schemeClr w14:val="tx1"/>
            </w14:solidFill>
          </w14:textFill>
        </w:rPr>
        <w:t>各种规格给排水材料</w:t>
      </w:r>
      <w:r>
        <w:rPr>
          <w:rFonts w:ascii="宋体" w:hAnsi="宋体" w:cs="仿宋"/>
          <w:bCs/>
          <w:color w:val="000000" w:themeColor="text1"/>
          <w:sz w:val="24"/>
          <w:highlight w:val="none"/>
          <w14:textFill>
            <w14:solidFill>
              <w14:schemeClr w14:val="tx1"/>
            </w14:solidFill>
          </w14:textFill>
        </w:rPr>
        <w:t>：</w:t>
      </w:r>
      <w:r>
        <w:rPr>
          <w:rFonts w:hint="eastAsia" w:ascii="宋体" w:hAnsi="宋体" w:cs="仿宋"/>
          <w:bCs/>
          <w:color w:val="000000" w:themeColor="text1"/>
          <w:sz w:val="24"/>
          <w:highlight w:val="none"/>
          <w:lang w:val="en-US" w:eastAsia="zh-CN"/>
          <w14:textFill>
            <w14:solidFill>
              <w14:schemeClr w14:val="tx1"/>
            </w14:solidFill>
          </w14:textFill>
        </w:rPr>
        <w:t>可满足</w:t>
      </w:r>
      <w:r>
        <w:rPr>
          <w:rFonts w:ascii="宋体" w:hAnsi="宋体" w:cs="仿宋"/>
          <w:bCs/>
          <w:color w:val="000000" w:themeColor="text1"/>
          <w:sz w:val="24"/>
          <w:highlight w:val="none"/>
          <w14:textFill>
            <w14:solidFill>
              <w14:schemeClr w14:val="tx1"/>
            </w14:solidFill>
          </w14:textFill>
        </w:rPr>
        <w:t>。</w:t>
      </w:r>
    </w:p>
    <w:p>
      <w:pPr>
        <w:numPr>
          <w:ilvl w:val="0"/>
          <w:numId w:val="3"/>
        </w:numPr>
        <w:spacing w:line="360" w:lineRule="auto"/>
        <w:ind w:firstLine="0"/>
        <w:rPr>
          <w:rFonts w:ascii="宋体" w:hAnsi="宋体" w:cs="仿宋"/>
          <w:b/>
          <w:color w:val="000000" w:themeColor="text1"/>
          <w:sz w:val="24"/>
          <w:highlight w:val="none"/>
          <w14:textFill>
            <w14:solidFill>
              <w14:schemeClr w14:val="tx1"/>
            </w14:solidFill>
          </w14:textFill>
        </w:rPr>
      </w:pPr>
      <w:r>
        <w:rPr>
          <w:rFonts w:hint="default" w:ascii="宋体" w:hAnsi="宋体" w:cs="仿宋"/>
          <w:b/>
          <w:color w:val="000000" w:themeColor="text1"/>
          <w:sz w:val="24"/>
          <w:highlight w:val="none"/>
          <w14:textFill>
            <w14:solidFill>
              <w14:schemeClr w14:val="tx1"/>
            </w14:solidFill>
          </w14:textFill>
        </w:rPr>
        <w:t>乙方</w:t>
      </w:r>
      <w:r>
        <w:rPr>
          <w:rFonts w:ascii="宋体" w:hAnsi="宋体" w:cs="仿宋"/>
          <w:b/>
          <w:color w:val="000000" w:themeColor="text1"/>
          <w:sz w:val="24"/>
          <w:highlight w:val="none"/>
          <w14:textFill>
            <w14:solidFill>
              <w14:schemeClr w14:val="tx1"/>
            </w14:solidFill>
          </w14:textFill>
        </w:rPr>
        <w:t>的责任</w:t>
      </w:r>
    </w:p>
    <w:p>
      <w:pPr>
        <w:numPr>
          <w:ilvl w:val="0"/>
          <w:numId w:val="10"/>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与主办方</w:t>
      </w:r>
      <w:r>
        <w:rPr>
          <w:rFonts w:hint="eastAsia" w:ascii="宋体" w:hAnsi="宋体" w:cs="仿宋"/>
          <w:bCs/>
          <w:color w:val="000000" w:themeColor="text1"/>
          <w:sz w:val="24"/>
          <w:highlight w:val="none"/>
          <w14:textFill>
            <w14:solidFill>
              <w14:schemeClr w14:val="tx1"/>
            </w14:solidFill>
          </w14:textFill>
        </w:rPr>
        <w:t>、</w:t>
      </w:r>
      <w:r>
        <w:rPr>
          <w:rFonts w:ascii="宋体" w:hAnsi="宋体" w:cs="仿宋"/>
          <w:bCs/>
          <w:color w:val="000000" w:themeColor="text1"/>
          <w:sz w:val="24"/>
          <w:highlight w:val="none"/>
          <w14:textFill>
            <w14:solidFill>
              <w14:schemeClr w14:val="tx1"/>
            </w14:solidFill>
          </w14:textFill>
        </w:rPr>
        <w:t>参展商、主场方</w:t>
      </w:r>
      <w:r>
        <w:rPr>
          <w:rFonts w:hint="eastAsia" w:ascii="宋体" w:hAnsi="宋体" w:cs="仿宋"/>
          <w:bCs/>
          <w:color w:val="000000" w:themeColor="text1"/>
          <w:sz w:val="24"/>
          <w:highlight w:val="none"/>
          <w14:textFill>
            <w14:solidFill>
              <w14:schemeClr w14:val="tx1"/>
            </w14:solidFill>
          </w14:textFill>
        </w:rPr>
        <w:t>等</w:t>
      </w:r>
      <w:r>
        <w:rPr>
          <w:rFonts w:ascii="宋体" w:hAnsi="宋体" w:cs="仿宋"/>
          <w:bCs/>
          <w:color w:val="000000" w:themeColor="text1"/>
          <w:sz w:val="24"/>
          <w:highlight w:val="none"/>
          <w14:textFill>
            <w14:solidFill>
              <w14:schemeClr w14:val="tx1"/>
            </w14:solidFill>
          </w14:textFill>
        </w:rPr>
        <w:t>产生纠纷的，由</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通过协商或其他合法途径解决，由此产生的一切费用及损失，由</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自行承担；对</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造成损失的，</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应承担赔偿责任。</w:t>
      </w:r>
    </w:p>
    <w:p>
      <w:pPr>
        <w:numPr>
          <w:ilvl w:val="0"/>
          <w:numId w:val="10"/>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如现场出现故障维修或紧急服务需求，</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应在5分钟内到达现场并视现场情况进行故障修复或紧急服务实施。</w:t>
      </w:r>
    </w:p>
    <w:p>
      <w:pPr>
        <w:numPr>
          <w:ilvl w:val="0"/>
          <w:numId w:val="10"/>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须注意下述各点，由此所发生的各类纠纷由</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自行承担，并负相应的经济和法律责任：</w:t>
      </w:r>
    </w:p>
    <w:p>
      <w:pPr>
        <w:numPr>
          <w:ilvl w:val="0"/>
          <w:numId w:val="0"/>
        </w:numPr>
        <w:adjustRightInd w:val="0"/>
        <w:snapToGrid w:val="0"/>
        <w:spacing w:line="360" w:lineRule="auto"/>
        <w:ind w:left="425" w:hanging="425"/>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 xml:space="preserve">3.1 </w:t>
      </w:r>
      <w:r>
        <w:rPr>
          <w:rFonts w:ascii="宋体" w:hAnsi="宋体" w:cs="仿宋"/>
          <w:bCs/>
          <w:color w:val="000000" w:themeColor="text1"/>
          <w:sz w:val="24"/>
          <w:highlight w:val="none"/>
          <w14:textFill>
            <w14:solidFill>
              <w14:schemeClr w14:val="tx1"/>
            </w14:solidFill>
          </w14:textFill>
        </w:rPr>
        <w:t>工作期间，</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的员工须遵守国家法律法规和</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的规章制度，切实履行相关的工作制度和职责。如造成</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场馆设备、设施损坏的，</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须</w:t>
      </w:r>
      <w:r>
        <w:rPr>
          <w:rFonts w:hint="eastAsia" w:ascii="宋体" w:hAnsi="宋体" w:cs="仿宋"/>
          <w:bCs/>
          <w:color w:val="000000" w:themeColor="text1"/>
          <w:sz w:val="24"/>
          <w:highlight w:val="none"/>
          <w14:textFill>
            <w14:solidFill>
              <w14:schemeClr w14:val="tx1"/>
            </w14:solidFill>
          </w14:textFill>
        </w:rPr>
        <w:t>在甲方指定期限内</w:t>
      </w:r>
      <w:r>
        <w:rPr>
          <w:rFonts w:ascii="宋体" w:hAnsi="宋体" w:cs="仿宋"/>
          <w:bCs/>
          <w:color w:val="000000" w:themeColor="text1"/>
          <w:sz w:val="24"/>
          <w:highlight w:val="none"/>
          <w14:textFill>
            <w14:solidFill>
              <w14:schemeClr w14:val="tx1"/>
            </w14:solidFill>
          </w14:textFill>
        </w:rPr>
        <w:t>原价赔偿或者恢复原状，</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逾期未采取任何</w:t>
      </w:r>
      <w:r>
        <w:rPr>
          <w:rFonts w:hint="eastAsia" w:ascii="宋体" w:hAnsi="宋体" w:cs="仿宋"/>
          <w:bCs/>
          <w:color w:val="000000" w:themeColor="text1"/>
          <w:sz w:val="24"/>
          <w:highlight w:val="none"/>
          <w14:textFill>
            <w14:solidFill>
              <w14:schemeClr w14:val="tx1"/>
            </w14:solidFill>
          </w14:textFill>
        </w:rPr>
        <w:t>有效</w:t>
      </w:r>
      <w:r>
        <w:rPr>
          <w:rFonts w:ascii="宋体" w:hAnsi="宋体" w:cs="仿宋"/>
          <w:bCs/>
          <w:color w:val="000000" w:themeColor="text1"/>
          <w:sz w:val="24"/>
          <w:highlight w:val="none"/>
          <w14:textFill>
            <w14:solidFill>
              <w14:schemeClr w14:val="tx1"/>
            </w14:solidFill>
          </w14:textFill>
        </w:rPr>
        <w:t>措施的，</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有权在</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的服务费中扣除相应的费用。</w:t>
      </w:r>
    </w:p>
    <w:p>
      <w:pPr>
        <w:numPr>
          <w:ilvl w:val="0"/>
          <w:numId w:val="0"/>
        </w:numPr>
        <w:adjustRightInd w:val="0"/>
        <w:snapToGrid w:val="0"/>
        <w:spacing w:line="360" w:lineRule="auto"/>
        <w:ind w:left="425" w:hanging="425"/>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3.2 乙方</w:t>
      </w:r>
      <w:r>
        <w:rPr>
          <w:rFonts w:ascii="宋体" w:hAnsi="宋体" w:cs="仿宋"/>
          <w:bCs/>
          <w:color w:val="000000" w:themeColor="text1"/>
          <w:sz w:val="24"/>
          <w:highlight w:val="none"/>
          <w14:textFill>
            <w14:solidFill>
              <w14:schemeClr w14:val="tx1"/>
            </w14:solidFill>
          </w14:textFill>
        </w:rPr>
        <w:t>须按照为其进馆服务人员缴纳涉及相关服务工作的意外伤亡险或工伤险，同时保证</w:t>
      </w:r>
      <w:r>
        <w:rPr>
          <w:rFonts w:hint="eastAsia" w:ascii="宋体" w:hAnsi="宋体" w:cs="仿宋"/>
          <w:bCs/>
          <w:color w:val="000000" w:themeColor="text1"/>
          <w:sz w:val="24"/>
          <w:highlight w:val="none"/>
          <w14:textFill>
            <w14:solidFill>
              <w14:schemeClr w14:val="tx1"/>
            </w14:solidFill>
          </w14:textFill>
        </w:rPr>
        <w:t>用人、</w:t>
      </w:r>
      <w:r>
        <w:rPr>
          <w:rFonts w:ascii="宋体" w:hAnsi="宋体" w:cs="仿宋"/>
          <w:bCs/>
          <w:color w:val="000000" w:themeColor="text1"/>
          <w:sz w:val="24"/>
          <w:highlight w:val="none"/>
          <w14:textFill>
            <w14:solidFill>
              <w14:schemeClr w14:val="tx1"/>
            </w14:solidFill>
          </w14:textFill>
        </w:rPr>
        <w:t>用工的合法性。</w:t>
      </w:r>
    </w:p>
    <w:p>
      <w:pPr>
        <w:numPr>
          <w:ilvl w:val="0"/>
          <w:numId w:val="0"/>
        </w:numPr>
        <w:adjustRightInd w:val="0"/>
        <w:snapToGrid w:val="0"/>
        <w:spacing w:line="360" w:lineRule="auto"/>
        <w:ind w:left="425" w:hanging="425"/>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3.3 乙方</w:t>
      </w:r>
      <w:r>
        <w:rPr>
          <w:rFonts w:ascii="宋体" w:hAnsi="宋体" w:cs="仿宋"/>
          <w:bCs/>
          <w:color w:val="000000" w:themeColor="text1"/>
          <w:sz w:val="24"/>
          <w:highlight w:val="none"/>
          <w14:textFill>
            <w14:solidFill>
              <w14:schemeClr w14:val="tx1"/>
            </w14:solidFill>
          </w14:textFill>
        </w:rPr>
        <w:t>须对员工进行上岗培训、安全生产教育，所提供的人员经过培训合格后才可安排进行维修保养工作，对于国家规定一些特殊的维修维护保障工作，提供的人员需具有相应资格和资质。</w:t>
      </w:r>
    </w:p>
    <w:p>
      <w:pPr>
        <w:numPr>
          <w:ilvl w:val="0"/>
          <w:numId w:val="0"/>
        </w:numPr>
        <w:adjustRightInd w:val="0"/>
        <w:snapToGrid w:val="0"/>
        <w:spacing w:line="360" w:lineRule="auto"/>
        <w:ind w:left="425" w:hanging="425"/>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3.4 乙方</w:t>
      </w:r>
      <w:r>
        <w:rPr>
          <w:rFonts w:ascii="宋体" w:hAnsi="宋体" w:cs="仿宋"/>
          <w:bCs/>
          <w:color w:val="000000" w:themeColor="text1"/>
          <w:sz w:val="24"/>
          <w:highlight w:val="none"/>
          <w14:textFill>
            <w14:solidFill>
              <w14:schemeClr w14:val="tx1"/>
            </w14:solidFill>
          </w14:textFill>
        </w:rPr>
        <w:t>承担独立法人</w:t>
      </w:r>
      <w:r>
        <w:rPr>
          <w:rFonts w:hint="eastAsia" w:ascii="宋体" w:hAnsi="宋体" w:cs="仿宋"/>
          <w:bCs/>
          <w:color w:val="000000" w:themeColor="text1"/>
          <w:sz w:val="24"/>
          <w:highlight w:val="none"/>
          <w:lang w:val="en-US" w:eastAsia="zh-CN"/>
          <w14:textFill>
            <w14:solidFill>
              <w14:schemeClr w14:val="tx1"/>
            </w14:solidFill>
          </w14:textFill>
        </w:rPr>
        <w:t>单位</w:t>
      </w:r>
      <w:r>
        <w:rPr>
          <w:rFonts w:ascii="宋体" w:hAnsi="宋体" w:cs="仿宋"/>
          <w:bCs/>
          <w:color w:val="000000" w:themeColor="text1"/>
          <w:sz w:val="24"/>
          <w:highlight w:val="none"/>
          <w14:textFill>
            <w14:solidFill>
              <w14:schemeClr w14:val="tx1"/>
            </w14:solidFill>
          </w14:textFill>
        </w:rPr>
        <w:t>应该承担的全部责任，包括综合治理、刑事、民事、</w:t>
      </w:r>
      <w:r>
        <w:rPr>
          <w:rFonts w:hint="eastAsia" w:ascii="宋体" w:hAnsi="宋体" w:cs="仿宋"/>
          <w:bCs/>
          <w:color w:val="000000" w:themeColor="text1"/>
          <w:sz w:val="24"/>
          <w:highlight w:val="none"/>
          <w:lang w:val="en-US" w:eastAsia="zh-CN"/>
          <w14:textFill>
            <w14:solidFill>
              <w14:schemeClr w14:val="tx1"/>
            </w14:solidFill>
          </w14:textFill>
        </w:rPr>
        <w:t>行政、</w:t>
      </w:r>
      <w:r>
        <w:rPr>
          <w:rFonts w:ascii="宋体" w:hAnsi="宋体" w:cs="仿宋"/>
          <w:bCs/>
          <w:color w:val="000000" w:themeColor="text1"/>
          <w:sz w:val="24"/>
          <w:highlight w:val="none"/>
          <w14:textFill>
            <w14:solidFill>
              <w14:schemeClr w14:val="tx1"/>
            </w14:solidFill>
          </w14:textFill>
        </w:rPr>
        <w:t>工伤、社保、员工劳保福利等一切责任，在施工期间出现人员或财产损失的由</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承担，对</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造成损失的，</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应承担赔偿责任。</w:t>
      </w:r>
    </w:p>
    <w:p>
      <w:pPr>
        <w:numPr>
          <w:ilvl w:val="0"/>
          <w:numId w:val="0"/>
        </w:numPr>
        <w:adjustRightInd w:val="0"/>
        <w:snapToGrid w:val="0"/>
        <w:spacing w:line="360" w:lineRule="auto"/>
        <w:ind w:left="425" w:hanging="425"/>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 xml:space="preserve">3.5 </w:t>
      </w:r>
      <w:r>
        <w:rPr>
          <w:rFonts w:ascii="宋体" w:hAnsi="宋体" w:cs="仿宋"/>
          <w:bCs/>
          <w:color w:val="000000" w:themeColor="text1"/>
          <w:sz w:val="24"/>
          <w:highlight w:val="none"/>
          <w14:textFill>
            <w14:solidFill>
              <w14:schemeClr w14:val="tx1"/>
            </w14:solidFill>
          </w14:textFill>
        </w:rPr>
        <w:t>作业时间内，</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作业人员须遵纪守法文明作业，不得聚堆闲聊、瞌睡、执捡收集、挪用变卖垃圾废品及从事其它与作业无关的事项。</w:t>
      </w:r>
    </w:p>
    <w:p>
      <w:pPr>
        <w:numPr>
          <w:ilvl w:val="0"/>
          <w:numId w:val="10"/>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进入场馆作业后，应在服务区域内设置警示标识，严格做好安全防范要求；人员安全防范及安全事宜均由</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负责和承担，因</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原因出现的问题所产生责任由</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承担。</w:t>
      </w:r>
    </w:p>
    <w:p>
      <w:pPr>
        <w:numPr>
          <w:ilvl w:val="0"/>
          <w:numId w:val="10"/>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应接受</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的技术监督、现场管理以及</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的考核，并遵守</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一切相关公司规定以及考核要求，</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应保证文明施工并保持</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场馆的整洁，施工过程及施工完毕后应自行清理产生的垃圾。</w:t>
      </w:r>
    </w:p>
    <w:p>
      <w:pPr>
        <w:numPr>
          <w:ilvl w:val="0"/>
          <w:numId w:val="10"/>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聘请工作人员必须具有完全民事行为能力及具备提供相应服务的业务能力，专业技术人员必须持证上岗。工作人员上岗前须经过培训，熟悉设施设备的使用方法技巧。如</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员工在工作中无证上岗、致使</w:t>
      </w:r>
      <w:r>
        <w:rPr>
          <w:rFonts w:hint="eastAsia" w:ascii="宋体" w:hAnsi="宋体" w:cs="仿宋"/>
          <w:bCs/>
          <w:color w:val="000000" w:themeColor="text1"/>
          <w:sz w:val="24"/>
          <w:highlight w:val="none"/>
          <w14:textFill>
            <w14:solidFill>
              <w14:schemeClr w14:val="tx1"/>
            </w14:solidFill>
          </w14:textFill>
        </w:rPr>
        <w:t>甲方或第三方人员</w:t>
      </w:r>
      <w:r>
        <w:rPr>
          <w:rFonts w:ascii="宋体" w:hAnsi="宋体" w:cs="仿宋"/>
          <w:bCs/>
          <w:color w:val="000000" w:themeColor="text1"/>
          <w:sz w:val="24"/>
          <w:highlight w:val="none"/>
          <w14:textFill>
            <w14:solidFill>
              <w14:schemeClr w14:val="tx1"/>
            </w14:solidFill>
          </w14:textFill>
        </w:rPr>
        <w:t>受伤、死亡或者对</w:t>
      </w:r>
      <w:r>
        <w:rPr>
          <w:rFonts w:hint="eastAsia" w:ascii="宋体" w:hAnsi="宋体" w:cs="仿宋"/>
          <w:bCs/>
          <w:color w:val="000000" w:themeColor="text1"/>
          <w:sz w:val="24"/>
          <w:highlight w:val="none"/>
          <w14:textFill>
            <w14:solidFill>
              <w14:schemeClr w14:val="tx1"/>
            </w14:solidFill>
          </w14:textFill>
        </w:rPr>
        <w:t>甲方、第三方</w:t>
      </w:r>
      <w:r>
        <w:rPr>
          <w:rFonts w:ascii="宋体" w:hAnsi="宋体" w:cs="仿宋"/>
          <w:bCs/>
          <w:color w:val="000000" w:themeColor="text1"/>
          <w:sz w:val="24"/>
          <w:highlight w:val="none"/>
          <w14:textFill>
            <w14:solidFill>
              <w14:schemeClr w14:val="tx1"/>
            </w14:solidFill>
          </w14:textFill>
        </w:rPr>
        <w:t>财产造成损害</w:t>
      </w:r>
      <w:r>
        <w:rPr>
          <w:rFonts w:hint="eastAsia" w:ascii="宋体" w:hAnsi="宋体" w:cs="仿宋"/>
          <w:bCs/>
          <w:color w:val="000000" w:themeColor="text1"/>
          <w:sz w:val="24"/>
          <w:highlight w:val="none"/>
          <w14:textFill>
            <w14:solidFill>
              <w14:schemeClr w14:val="tx1"/>
            </w14:solidFill>
          </w14:textFill>
        </w:rPr>
        <w:t>、</w:t>
      </w:r>
      <w:r>
        <w:rPr>
          <w:rFonts w:ascii="宋体" w:hAnsi="宋体" w:cs="仿宋"/>
          <w:bCs/>
          <w:color w:val="000000" w:themeColor="text1"/>
          <w:sz w:val="24"/>
          <w:highlight w:val="none"/>
          <w14:textFill>
            <w14:solidFill>
              <w14:schemeClr w14:val="tx1"/>
            </w14:solidFill>
          </w14:textFill>
        </w:rPr>
        <w:t>损坏的，</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必须承担由此而产生的全部责任。</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在对</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进行考核时进行相应扣分。</w:t>
      </w:r>
    </w:p>
    <w:p>
      <w:pPr>
        <w:numPr>
          <w:ilvl w:val="0"/>
          <w:numId w:val="10"/>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作业人员必须穿着统一的图案、色泽及式样制作的工作服，做好安全防护措施、保持衣冠整洁。阴天或夜间作业必须穿着反光衣，须自备安全帽。</w:t>
      </w:r>
    </w:p>
    <w:p>
      <w:pPr>
        <w:numPr>
          <w:ilvl w:val="0"/>
          <w:numId w:val="10"/>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每次作业前应先检查设备，排除设备的故障问题，不得使用有故障问题的设备，因设备、工具使用过程中产生的安全事故、财产损失由</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自行负责。</w:t>
      </w:r>
    </w:p>
    <w:p>
      <w:pPr>
        <w:numPr>
          <w:ilvl w:val="0"/>
          <w:numId w:val="10"/>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应保证其水电气材料库存充足且能满足</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需求，</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提供的水电气材料质量须满足国家、行业现行的相关质量标准。</w:t>
      </w:r>
    </w:p>
    <w:p>
      <w:pPr>
        <w:numPr>
          <w:ilvl w:val="0"/>
          <w:numId w:val="10"/>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指派（姓名：</w:t>
      </w:r>
      <w:r>
        <w:rPr>
          <w:rFonts w:ascii="宋体" w:hAnsi="宋体" w:cs="仿宋"/>
          <w:bCs/>
          <w:color w:val="000000" w:themeColor="text1"/>
          <w:sz w:val="24"/>
          <w:highlight w:val="none"/>
          <w:u w:val="single"/>
          <w14:textFill>
            <w14:solidFill>
              <w14:schemeClr w14:val="tx1"/>
            </w14:solidFill>
          </w14:textFill>
        </w:rPr>
        <w:t xml:space="preserve">       </w:t>
      </w:r>
      <w:r>
        <w:rPr>
          <w:rFonts w:ascii="宋体" w:hAnsi="宋体" w:cs="仿宋"/>
          <w:bCs/>
          <w:color w:val="000000" w:themeColor="text1"/>
          <w:sz w:val="24"/>
          <w:highlight w:val="none"/>
          <w14:textFill>
            <w14:solidFill>
              <w14:schemeClr w14:val="tx1"/>
            </w14:solidFill>
          </w14:textFill>
        </w:rPr>
        <w:t xml:space="preserve"> ，联系电话：</w:t>
      </w:r>
      <w:r>
        <w:rPr>
          <w:rFonts w:ascii="宋体" w:hAnsi="宋体" w:cs="仿宋"/>
          <w:bCs/>
          <w:color w:val="000000" w:themeColor="text1"/>
          <w:sz w:val="24"/>
          <w:highlight w:val="none"/>
          <w:u w:val="single"/>
          <w14:textFill>
            <w14:solidFill>
              <w14:schemeClr w14:val="tx1"/>
            </w14:solidFill>
          </w14:textFill>
        </w:rPr>
        <w:t xml:space="preserve">      </w:t>
      </w:r>
      <w:r>
        <w:rPr>
          <w:rFonts w:ascii="宋体" w:hAnsi="宋体" w:cs="仿宋"/>
          <w:bCs/>
          <w:color w:val="000000" w:themeColor="text1"/>
          <w:sz w:val="24"/>
          <w:highlight w:val="none"/>
          <w14:textFill>
            <w14:solidFill>
              <w14:schemeClr w14:val="tx1"/>
            </w14:solidFill>
          </w14:textFill>
        </w:rPr>
        <w:t xml:space="preserve"> ，邮箱：</w:t>
      </w:r>
      <w:r>
        <w:rPr>
          <w:rFonts w:ascii="宋体" w:hAnsi="宋体" w:cs="仿宋"/>
          <w:bCs/>
          <w:color w:val="000000" w:themeColor="text1"/>
          <w:sz w:val="24"/>
          <w:highlight w:val="none"/>
          <w:u w:val="single"/>
          <w14:textFill>
            <w14:solidFill>
              <w14:schemeClr w14:val="tx1"/>
            </w14:solidFill>
          </w14:textFill>
        </w:rPr>
        <w:t xml:space="preserve">         </w:t>
      </w:r>
      <w:r>
        <w:rPr>
          <w:rFonts w:ascii="宋体" w:hAnsi="宋体" w:cs="仿宋"/>
          <w:bCs/>
          <w:color w:val="000000" w:themeColor="text1"/>
          <w:sz w:val="24"/>
          <w:highlight w:val="none"/>
          <w14:textFill>
            <w14:solidFill>
              <w14:schemeClr w14:val="tx1"/>
            </w14:solidFill>
          </w14:textFill>
        </w:rPr>
        <w:t>）为现场负责人，以上信息有更新必须在当天以书面等方式有效通知</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，否则</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将承担此不利后果。</w:t>
      </w:r>
    </w:p>
    <w:p>
      <w:pPr>
        <w:numPr>
          <w:ilvl w:val="0"/>
          <w:numId w:val="10"/>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合同服务期限内，</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损坏</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场地、设施设备的，</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应在</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指定限期内恢复或进行修复至原状。</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拒绝恢复或未恢复至原状的，</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有权自行聘请第三方对此进行修复和恢复，由此产生的费用由</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承担，</w:t>
      </w:r>
      <w:r>
        <w:rPr>
          <w:rFonts w:hint="eastAsia" w:ascii="宋体" w:hAnsi="宋体" w:cs="仿宋"/>
          <w:bCs/>
          <w:color w:val="000000" w:themeColor="text1"/>
          <w:sz w:val="24"/>
          <w:highlight w:val="none"/>
          <w14:textFill>
            <w14:solidFill>
              <w14:schemeClr w14:val="tx1"/>
            </w14:solidFill>
          </w14:textFill>
        </w:rPr>
        <w:t>甲方先</w:t>
      </w:r>
      <w:r>
        <w:rPr>
          <w:rFonts w:ascii="宋体" w:hAnsi="宋体" w:cs="仿宋"/>
          <w:bCs/>
          <w:color w:val="000000" w:themeColor="text1"/>
          <w:sz w:val="24"/>
          <w:highlight w:val="none"/>
          <w14:textFill>
            <w14:solidFill>
              <w14:schemeClr w14:val="tx1"/>
            </w14:solidFill>
          </w14:textFill>
        </w:rPr>
        <w:t>行垫付的有权在结算费用中扣除。</w:t>
      </w:r>
    </w:p>
    <w:p>
      <w:pPr>
        <w:numPr>
          <w:ilvl w:val="0"/>
          <w:numId w:val="10"/>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展会期间出现主办方、参展商 、主场方投诉</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的情形的，</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应在展会期间向</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说明情况，若情况属实的，</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应积极处理投诉并及时进行整改。</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将视实际情况在</w:t>
      </w:r>
      <w:r>
        <w:rPr>
          <w:rFonts w:ascii="宋体" w:hAnsi="宋体" w:cs="仿宋"/>
          <w:color w:val="000000" w:themeColor="text1"/>
          <w:sz w:val="24"/>
          <w:highlight w:val="none"/>
          <w14:textFill>
            <w14:solidFill>
              <w14:schemeClr w14:val="tx1"/>
            </w14:solidFill>
          </w14:textFill>
        </w:rPr>
        <w:t>《展会水电现场外包服务评价表》</w:t>
      </w:r>
      <w:r>
        <w:rPr>
          <w:rFonts w:ascii="宋体" w:hAnsi="宋体" w:cs="仿宋"/>
          <w:bCs/>
          <w:color w:val="000000" w:themeColor="text1"/>
          <w:sz w:val="24"/>
          <w:highlight w:val="none"/>
          <w14:textFill>
            <w14:solidFill>
              <w14:schemeClr w14:val="tx1"/>
            </w14:solidFill>
          </w14:textFill>
        </w:rPr>
        <w:t>中</w:t>
      </w:r>
      <w:r>
        <w:rPr>
          <w:rFonts w:hint="eastAsia" w:ascii="宋体" w:hAnsi="宋体" w:cs="仿宋"/>
          <w:bCs/>
          <w:color w:val="000000" w:themeColor="text1"/>
          <w:sz w:val="24"/>
          <w:highlight w:val="none"/>
          <w14:textFill>
            <w14:solidFill>
              <w14:schemeClr w14:val="tx1"/>
            </w14:solidFill>
          </w14:textFill>
        </w:rPr>
        <w:t>做</w:t>
      </w:r>
      <w:r>
        <w:rPr>
          <w:rFonts w:ascii="宋体" w:hAnsi="宋体" w:cs="仿宋"/>
          <w:bCs/>
          <w:color w:val="000000" w:themeColor="text1"/>
          <w:sz w:val="24"/>
          <w:highlight w:val="none"/>
          <w14:textFill>
            <w14:solidFill>
              <w14:schemeClr w14:val="tx1"/>
            </w14:solidFill>
          </w14:textFill>
        </w:rPr>
        <w:t>记录。如</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对上述投诉不重视、未有效解决相关问题的，经</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2次书面督促后尚未解决该问题的，</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有权聘请第三方进行相关工作的处理，所产生的全部费用应由</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承担，</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有权在当月服务费中扣除。</w:t>
      </w:r>
    </w:p>
    <w:p>
      <w:pPr>
        <w:numPr>
          <w:ilvl w:val="0"/>
          <w:numId w:val="3"/>
        </w:numPr>
        <w:spacing w:line="360" w:lineRule="auto"/>
        <w:ind w:firstLine="0"/>
        <w:rPr>
          <w:rFonts w:ascii="宋体" w:hAnsi="宋体" w:cs="仿宋"/>
          <w:b/>
          <w:color w:val="000000" w:themeColor="text1"/>
          <w:sz w:val="24"/>
          <w:highlight w:val="none"/>
          <w14:textFill>
            <w14:solidFill>
              <w14:schemeClr w14:val="tx1"/>
            </w14:solidFill>
          </w14:textFill>
        </w:rPr>
      </w:pPr>
      <w:r>
        <w:rPr>
          <w:rFonts w:ascii="宋体" w:hAnsi="宋体" w:cs="仿宋"/>
          <w:b/>
          <w:color w:val="000000" w:themeColor="text1"/>
          <w:sz w:val="24"/>
          <w:highlight w:val="none"/>
          <w14:textFill>
            <w14:solidFill>
              <w14:schemeClr w14:val="tx1"/>
            </w14:solidFill>
          </w14:textFill>
        </w:rPr>
        <w:t>质量要求和验收方式：</w:t>
      </w:r>
    </w:p>
    <w:p>
      <w:pPr>
        <w:numPr>
          <w:ilvl w:val="0"/>
          <w:numId w:val="11"/>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施工和服务质量达到国家技术</w:t>
      </w:r>
      <w:r>
        <w:rPr>
          <w:rFonts w:hint="eastAsia" w:ascii="宋体" w:hAnsi="宋体" w:cs="仿宋"/>
          <w:bCs/>
          <w:color w:val="000000" w:themeColor="text1"/>
          <w:sz w:val="24"/>
          <w:highlight w:val="none"/>
          <w14:textFill>
            <w14:solidFill>
              <w14:schemeClr w14:val="tx1"/>
            </w14:solidFill>
          </w14:textFill>
        </w:rPr>
        <w:t>、</w:t>
      </w:r>
      <w:r>
        <w:rPr>
          <w:rFonts w:ascii="宋体" w:hAnsi="宋体" w:cs="仿宋"/>
          <w:bCs/>
          <w:color w:val="000000" w:themeColor="text1"/>
          <w:sz w:val="24"/>
          <w:highlight w:val="none"/>
          <w14:textFill>
            <w14:solidFill>
              <w14:schemeClr w14:val="tx1"/>
            </w14:solidFill>
          </w14:textFill>
        </w:rPr>
        <w:t>行业标准要求</w:t>
      </w:r>
      <w:r>
        <w:rPr>
          <w:rFonts w:hint="eastAsia" w:ascii="宋体" w:hAnsi="宋体" w:cs="仿宋"/>
          <w:bCs/>
          <w:color w:val="000000" w:themeColor="text1"/>
          <w:sz w:val="24"/>
          <w:highlight w:val="none"/>
          <w14:textFill>
            <w14:solidFill>
              <w14:schemeClr w14:val="tx1"/>
            </w14:solidFill>
          </w14:textFill>
        </w:rPr>
        <w:t>、以及甲方实际需求</w:t>
      </w:r>
      <w:r>
        <w:rPr>
          <w:rFonts w:ascii="宋体" w:hAnsi="宋体" w:cs="仿宋"/>
          <w:bCs/>
          <w:color w:val="000000" w:themeColor="text1"/>
          <w:sz w:val="24"/>
          <w:highlight w:val="none"/>
          <w14:textFill>
            <w14:solidFill>
              <w14:schemeClr w14:val="tx1"/>
            </w14:solidFill>
          </w14:textFill>
        </w:rPr>
        <w:t>；</w:t>
      </w:r>
    </w:p>
    <w:p>
      <w:pPr>
        <w:numPr>
          <w:ilvl w:val="0"/>
          <w:numId w:val="11"/>
        </w:numPr>
        <w:adjustRightInd w:val="0"/>
        <w:snapToGrid w:val="0"/>
        <w:spacing w:line="360" w:lineRule="auto"/>
        <w:rPr>
          <w:rFonts w:hint="eastAsia"/>
          <w:b/>
          <w:color w:val="000000" w:themeColor="text1"/>
          <w:sz w:val="24"/>
          <w:highlight w:val="none"/>
          <w:u w:val="wav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按照提交文件的施工方案对</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指定样品区域进行施工，施工完成后由</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组织人员对样品区域进行验收，并在验收通过后由</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继续按照提交文件的施工方案完成其余区域，双方在样品区域验收单上签名确认。如验收不合格，则由</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在双方约定时间内进行整改直至双方再次验收合格为止。连续二次（或以上）验收不合格，</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有权</w:t>
      </w:r>
      <w:r>
        <w:rPr>
          <w:rFonts w:hint="eastAsia" w:ascii="宋体" w:hAnsi="宋体" w:cs="仿宋"/>
          <w:bCs/>
          <w:color w:val="000000" w:themeColor="text1"/>
          <w:sz w:val="24"/>
          <w:highlight w:val="none"/>
          <w14:textFill>
            <w14:solidFill>
              <w14:schemeClr w14:val="tx1"/>
            </w14:solidFill>
          </w14:textFill>
        </w:rPr>
        <w:t>单方解除本合同，</w:t>
      </w:r>
      <w:r>
        <w:rPr>
          <w:rFonts w:ascii="宋体" w:hAnsi="宋体" w:cs="仿宋"/>
          <w:bCs/>
          <w:color w:val="000000" w:themeColor="text1"/>
          <w:sz w:val="24"/>
          <w:highlight w:val="none"/>
          <w14:textFill>
            <w14:solidFill>
              <w14:schemeClr w14:val="tx1"/>
            </w14:solidFill>
          </w14:textFill>
        </w:rPr>
        <w:t>不支付任何服务费并有权对</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因违约行为对</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产生的经济损失进行索赔追诉等。</w:t>
      </w:r>
    </w:p>
    <w:p>
      <w:pPr>
        <w:numPr>
          <w:ilvl w:val="0"/>
          <w:numId w:val="3"/>
        </w:numPr>
        <w:adjustRightInd w:val="0"/>
        <w:snapToGrid w:val="0"/>
        <w:spacing w:line="360" w:lineRule="auto"/>
        <w:ind w:firstLine="0"/>
        <w:rPr>
          <w:rFonts w:hint="eastAsia"/>
          <w:b/>
          <w:color w:val="000000" w:themeColor="text1"/>
          <w:sz w:val="24"/>
          <w:highlight w:val="none"/>
          <w:u w:val="none"/>
          <w14:textFill>
            <w14:solidFill>
              <w14:schemeClr w14:val="tx1"/>
            </w14:solidFill>
          </w14:textFill>
        </w:rPr>
      </w:pPr>
      <w:r>
        <w:rPr>
          <w:rFonts w:hint="eastAsia"/>
          <w:b/>
          <w:color w:val="000000" w:themeColor="text1"/>
          <w:sz w:val="24"/>
          <w:highlight w:val="none"/>
          <w:u w:val="none"/>
          <w14:textFill>
            <w14:solidFill>
              <w14:schemeClr w14:val="tx1"/>
            </w14:solidFill>
          </w14:textFill>
        </w:rPr>
        <w:t>违约责任</w:t>
      </w:r>
    </w:p>
    <w:p>
      <w:pPr>
        <w:numPr>
          <w:ilvl w:val="0"/>
          <w:numId w:val="12"/>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default" w:ascii="宋体" w:hAnsi="宋体" w:cs="仿宋"/>
          <w:b w:val="0"/>
          <w:bCs/>
          <w:color w:val="000000" w:themeColor="text1"/>
          <w:sz w:val="24"/>
          <w:highlight w:val="none"/>
          <w:u w:val="none"/>
          <w14:textFill>
            <w14:solidFill>
              <w14:schemeClr w14:val="tx1"/>
            </w14:solidFill>
          </w14:textFill>
        </w:rPr>
        <w:t>乙方</w:t>
      </w:r>
      <w:r>
        <w:rPr>
          <w:rFonts w:hint="eastAsia" w:ascii="宋体" w:hAnsi="宋体" w:cs="仿宋"/>
          <w:bCs/>
          <w:color w:val="000000" w:themeColor="text1"/>
          <w:sz w:val="24"/>
          <w:highlight w:val="none"/>
          <w14:textFill>
            <w14:solidFill>
              <w14:schemeClr w14:val="tx1"/>
            </w14:solidFill>
          </w14:textFill>
        </w:rPr>
        <w:t>擅自变更项目技术人员及现场负责人，或未按照甲方要求更换技术人员及现场负责人的，每次向甲方支付违约金【1000】元。</w:t>
      </w:r>
    </w:p>
    <w:p>
      <w:pPr>
        <w:numPr>
          <w:ilvl w:val="0"/>
          <w:numId w:val="12"/>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乙方施工和服务质量连续两次以上验收不合格，或给甲方造成损失的，甲方有权单方解除本合同，不支付任何服务费，且乙方向甲方支付违约金【</w:t>
      </w:r>
      <w:r>
        <w:rPr>
          <w:rFonts w:ascii="宋体" w:hAnsi="宋体" w:cs="仿宋"/>
          <w:bCs/>
          <w:color w:val="000000" w:themeColor="text1"/>
          <w:sz w:val="24"/>
          <w:highlight w:val="none"/>
          <w14:textFill>
            <w14:solidFill>
              <w14:schemeClr w14:val="tx1"/>
            </w14:solidFill>
          </w14:textFill>
        </w:rPr>
        <w:t>10</w:t>
      </w:r>
      <w:r>
        <w:rPr>
          <w:rFonts w:hint="eastAsia" w:ascii="宋体" w:hAnsi="宋体" w:cs="仿宋"/>
          <w:bCs/>
          <w:color w:val="000000" w:themeColor="text1"/>
          <w:sz w:val="24"/>
          <w:highlight w:val="none"/>
          <w14:textFill>
            <w14:solidFill>
              <w14:schemeClr w14:val="tx1"/>
            </w14:solidFill>
          </w14:textFill>
        </w:rPr>
        <w:t>000】元。</w:t>
      </w:r>
    </w:p>
    <w:p>
      <w:pPr>
        <w:numPr>
          <w:ilvl w:val="0"/>
          <w:numId w:val="12"/>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原因导致发生安全事故</w:t>
      </w:r>
      <w:r>
        <w:rPr>
          <w:rFonts w:hint="eastAsia" w:ascii="宋体" w:hAnsi="宋体" w:cs="仿宋"/>
          <w:bCs/>
          <w:color w:val="000000" w:themeColor="text1"/>
          <w:sz w:val="24"/>
          <w:highlight w:val="none"/>
          <w14:textFill>
            <w14:solidFill>
              <w14:schemeClr w14:val="tx1"/>
            </w14:solidFill>
          </w14:textFill>
        </w:rPr>
        <w:t>的，由乙方承担全部责任和赔偿，甲方有权单方解除本合同，不支付任何服务费，且乙方向甲方支付违约金【</w:t>
      </w:r>
      <w:r>
        <w:rPr>
          <w:rFonts w:ascii="宋体" w:hAnsi="宋体" w:cs="仿宋"/>
          <w:bCs/>
          <w:color w:val="000000" w:themeColor="text1"/>
          <w:sz w:val="24"/>
          <w:highlight w:val="none"/>
          <w14:textFill>
            <w14:solidFill>
              <w14:schemeClr w14:val="tx1"/>
            </w14:solidFill>
          </w14:textFill>
        </w:rPr>
        <w:t>10</w:t>
      </w:r>
      <w:r>
        <w:rPr>
          <w:rFonts w:hint="eastAsia" w:ascii="宋体" w:hAnsi="宋体" w:cs="仿宋"/>
          <w:bCs/>
          <w:color w:val="000000" w:themeColor="text1"/>
          <w:sz w:val="24"/>
          <w:highlight w:val="none"/>
          <w14:textFill>
            <w14:solidFill>
              <w14:schemeClr w14:val="tx1"/>
            </w14:solidFill>
          </w14:textFill>
        </w:rPr>
        <w:t>000】元。</w:t>
      </w:r>
    </w:p>
    <w:p>
      <w:pPr>
        <w:numPr>
          <w:ilvl w:val="0"/>
          <w:numId w:val="12"/>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乙方无正当理由拒绝接受甲方委派的工作任务或不按合同约定接受任务分配的，视同放弃该业务获得资格，甲方有权单方解除本合同，并</w:t>
      </w:r>
      <w:r>
        <w:rPr>
          <w:rFonts w:ascii="宋体" w:hAnsi="宋体" w:cs="仿宋"/>
          <w:bCs/>
          <w:color w:val="000000" w:themeColor="text1"/>
          <w:sz w:val="24"/>
          <w:highlight w:val="none"/>
          <w14:textFill>
            <w14:solidFill>
              <w14:schemeClr w14:val="tx1"/>
            </w14:solidFill>
          </w14:textFill>
        </w:rPr>
        <w:t>有权对</w:t>
      </w:r>
      <w:r>
        <w:rPr>
          <w:rFonts w:hint="eastAsia" w:ascii="宋体" w:hAnsi="宋体" w:cs="仿宋"/>
          <w:bCs/>
          <w:color w:val="000000" w:themeColor="text1"/>
          <w:sz w:val="24"/>
          <w:highlight w:val="none"/>
          <w14:textFill>
            <w14:solidFill>
              <w14:schemeClr w14:val="tx1"/>
            </w14:solidFill>
          </w14:textFill>
        </w:rPr>
        <w:t>乙方</w:t>
      </w:r>
      <w:r>
        <w:rPr>
          <w:rFonts w:ascii="宋体" w:hAnsi="宋体" w:cs="仿宋"/>
          <w:bCs/>
          <w:color w:val="000000" w:themeColor="text1"/>
          <w:sz w:val="24"/>
          <w:highlight w:val="none"/>
          <w14:textFill>
            <w14:solidFill>
              <w14:schemeClr w14:val="tx1"/>
            </w14:solidFill>
          </w14:textFill>
        </w:rPr>
        <w:t>因违约行为对</w:t>
      </w:r>
      <w:r>
        <w:rPr>
          <w:rFonts w:hint="eastAsia" w:ascii="宋体" w:hAnsi="宋体" w:cs="仿宋"/>
          <w:bCs/>
          <w:color w:val="000000" w:themeColor="text1"/>
          <w:sz w:val="24"/>
          <w:highlight w:val="none"/>
          <w14:textFill>
            <w14:solidFill>
              <w14:schemeClr w14:val="tx1"/>
            </w14:solidFill>
          </w14:textFill>
        </w:rPr>
        <w:t>甲方</w:t>
      </w:r>
      <w:r>
        <w:rPr>
          <w:rFonts w:ascii="宋体" w:hAnsi="宋体" w:cs="仿宋"/>
          <w:bCs/>
          <w:color w:val="000000" w:themeColor="text1"/>
          <w:sz w:val="24"/>
          <w:highlight w:val="none"/>
          <w14:textFill>
            <w14:solidFill>
              <w14:schemeClr w14:val="tx1"/>
            </w14:solidFill>
          </w14:textFill>
        </w:rPr>
        <w:t>产生的经济损失进行索赔</w:t>
      </w:r>
      <w:r>
        <w:rPr>
          <w:rFonts w:hint="eastAsia" w:ascii="宋体" w:hAnsi="宋体" w:cs="仿宋"/>
          <w:bCs/>
          <w:color w:val="000000" w:themeColor="text1"/>
          <w:sz w:val="24"/>
          <w:highlight w:val="none"/>
          <w:lang w:eastAsia="zh-CN"/>
          <w14:textFill>
            <w14:solidFill>
              <w14:schemeClr w14:val="tx1"/>
            </w14:solidFill>
          </w14:textFill>
        </w:rPr>
        <w:t>、</w:t>
      </w:r>
      <w:r>
        <w:rPr>
          <w:rFonts w:hint="eastAsia" w:ascii="宋体" w:hAnsi="宋体" w:cs="仿宋"/>
          <w:bCs/>
          <w:color w:val="000000" w:themeColor="text1"/>
          <w:sz w:val="24"/>
          <w:highlight w:val="none"/>
          <w:lang w:val="en-US" w:eastAsia="zh-CN"/>
          <w14:textFill>
            <w14:solidFill>
              <w14:schemeClr w14:val="tx1"/>
            </w14:solidFill>
          </w14:textFill>
        </w:rPr>
        <w:t>追诉</w:t>
      </w:r>
      <w:r>
        <w:rPr>
          <w:rFonts w:ascii="宋体" w:hAnsi="宋体" w:cs="仿宋"/>
          <w:bCs/>
          <w:color w:val="000000" w:themeColor="text1"/>
          <w:sz w:val="24"/>
          <w:highlight w:val="none"/>
          <w14:textFill>
            <w14:solidFill>
              <w14:schemeClr w14:val="tx1"/>
            </w14:solidFill>
          </w14:textFill>
        </w:rPr>
        <w:t>等。</w:t>
      </w:r>
    </w:p>
    <w:p>
      <w:pPr>
        <w:numPr>
          <w:ilvl w:val="0"/>
          <w:numId w:val="12"/>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乙方违反合同约定，经催告后仍不整改，或整改后仍不符合合同约定；或乙方严重违反合同约定导致合同目的不能实现，甲方有权单方解除合同，并有权对乙方因违约行为对甲方产生的经济损失进行索赔</w:t>
      </w:r>
      <w:r>
        <w:rPr>
          <w:rFonts w:hint="eastAsia" w:ascii="宋体" w:hAnsi="宋体" w:cs="仿宋"/>
          <w:bCs/>
          <w:color w:val="000000" w:themeColor="text1"/>
          <w:sz w:val="24"/>
          <w:highlight w:val="none"/>
          <w:lang w:eastAsia="zh-CN"/>
          <w14:textFill>
            <w14:solidFill>
              <w14:schemeClr w14:val="tx1"/>
            </w14:solidFill>
          </w14:textFill>
        </w:rPr>
        <w:t>、</w:t>
      </w:r>
      <w:r>
        <w:rPr>
          <w:rFonts w:hint="eastAsia" w:ascii="宋体" w:hAnsi="宋体" w:cs="仿宋"/>
          <w:bCs/>
          <w:color w:val="000000" w:themeColor="text1"/>
          <w:sz w:val="24"/>
          <w:highlight w:val="none"/>
          <w:lang w:val="en-US" w:eastAsia="zh-CN"/>
          <w14:textFill>
            <w14:solidFill>
              <w14:schemeClr w14:val="tx1"/>
            </w14:solidFill>
          </w14:textFill>
        </w:rPr>
        <w:t>追诉</w:t>
      </w:r>
      <w:r>
        <w:rPr>
          <w:rFonts w:hint="eastAsia" w:ascii="宋体" w:hAnsi="宋体" w:cs="仿宋"/>
          <w:bCs/>
          <w:color w:val="000000" w:themeColor="text1"/>
          <w:sz w:val="24"/>
          <w:highlight w:val="none"/>
          <w14:textFill>
            <w14:solidFill>
              <w14:schemeClr w14:val="tx1"/>
            </w14:solidFill>
          </w14:textFill>
        </w:rPr>
        <w:t>等，如乙方已收取甲方费用的，甲方有权要求乙方返还全部费用。</w:t>
      </w:r>
    </w:p>
    <w:p>
      <w:pPr>
        <w:numPr>
          <w:ilvl w:val="0"/>
          <w:numId w:val="12"/>
        </w:numPr>
        <w:adjustRightInd w:val="0"/>
        <w:snapToGrid w:val="0"/>
        <w:spacing w:line="360" w:lineRule="auto"/>
        <w:rPr>
          <w:rFonts w:hint="default" w:ascii="宋体" w:hAnsi="宋体" w:cs="仿宋"/>
          <w:b w:val="0"/>
          <w:bCs/>
          <w:color w:val="000000" w:themeColor="text1"/>
          <w:sz w:val="24"/>
          <w:highlight w:val="none"/>
          <w:u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守约方因维权而产生的各项支出，包括但不限于诉讼费用、律师费用、鉴定费、评估费、公证费、调查取证费、保全费，均由违约方承担。</w:t>
      </w:r>
    </w:p>
    <w:p>
      <w:pPr>
        <w:numPr>
          <w:ilvl w:val="0"/>
          <w:numId w:val="3"/>
        </w:numPr>
        <w:adjustRightInd w:val="0"/>
        <w:snapToGrid w:val="0"/>
        <w:spacing w:line="360" w:lineRule="auto"/>
        <w:ind w:firstLine="0"/>
        <w:rPr>
          <w:rFonts w:hint="eastAsia"/>
          <w:b/>
          <w:color w:val="000000" w:themeColor="text1"/>
          <w:sz w:val="24"/>
          <w:highlight w:val="none"/>
          <w:u w:val="wave"/>
          <w14:textFill>
            <w14:solidFill>
              <w14:schemeClr w14:val="tx1"/>
            </w14:solidFill>
          </w14:textFill>
        </w:rPr>
      </w:pPr>
      <w:r>
        <w:rPr>
          <w:rFonts w:hint="eastAsia"/>
          <w:b/>
          <w:color w:val="000000" w:themeColor="text1"/>
          <w:sz w:val="24"/>
          <w:highlight w:val="none"/>
          <w:u w:val="wave"/>
          <w14:textFill>
            <w14:solidFill>
              <w14:schemeClr w14:val="tx1"/>
            </w14:solidFill>
          </w14:textFill>
        </w:rPr>
        <w:t>争议解决</w:t>
      </w:r>
    </w:p>
    <w:p>
      <w:pPr>
        <w:numPr>
          <w:ilvl w:val="0"/>
          <w:numId w:val="0"/>
        </w:numPr>
        <w:adjustRightInd w:val="0"/>
        <w:snapToGrid w:val="0"/>
        <w:spacing w:line="360" w:lineRule="auto"/>
        <w:ind w:left="425"/>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因履行本合同期间产生的一切争议，由甲乙双方友好协商解决，协商不成时，任何一方均有权向甲方所在地人民法院提起诉讼。</w:t>
      </w:r>
    </w:p>
    <w:p>
      <w:pPr>
        <w:numPr>
          <w:ilvl w:val="0"/>
          <w:numId w:val="3"/>
        </w:numPr>
        <w:adjustRightInd w:val="0"/>
        <w:snapToGrid w:val="0"/>
        <w:spacing w:line="360" w:lineRule="auto"/>
        <w:ind w:firstLine="0"/>
        <w:rPr>
          <w:rFonts w:hint="eastAsia"/>
          <w:b/>
          <w:color w:val="000000" w:themeColor="text1"/>
          <w:sz w:val="24"/>
          <w:highlight w:val="none"/>
          <w:u w:val="wave"/>
          <w14:textFill>
            <w14:solidFill>
              <w14:schemeClr w14:val="tx1"/>
            </w14:solidFill>
          </w14:textFill>
        </w:rPr>
      </w:pPr>
      <w:r>
        <w:rPr>
          <w:rFonts w:hint="eastAsia"/>
          <w:b/>
          <w:color w:val="000000" w:themeColor="text1"/>
          <w:sz w:val="24"/>
          <w:highlight w:val="none"/>
          <w:u w:val="wave"/>
          <w14:textFill>
            <w14:solidFill>
              <w14:schemeClr w14:val="tx1"/>
            </w14:solidFill>
          </w14:textFill>
        </w:rPr>
        <w:t>通知与送达</w:t>
      </w:r>
    </w:p>
    <w:p>
      <w:pPr>
        <w:numPr>
          <w:ilvl w:val="0"/>
          <w:numId w:val="0"/>
        </w:numPr>
        <w:adjustRightInd w:val="0"/>
        <w:snapToGrid w:val="0"/>
        <w:spacing w:line="360" w:lineRule="auto"/>
        <w:ind w:left="425"/>
        <w:rPr>
          <w:rFonts w:hint="default" w:ascii="宋体" w:hAnsi="宋体" w:cs="仿宋"/>
          <w:b w:val="0"/>
          <w:bCs/>
          <w:color w:val="000000" w:themeColor="text1"/>
          <w:sz w:val="24"/>
          <w:highlight w:val="none"/>
          <w:u w:val="none"/>
          <w14:textFill>
            <w14:solidFill>
              <w14:schemeClr w14:val="tx1"/>
            </w14:solidFill>
          </w14:textFill>
        </w:rPr>
      </w:pPr>
      <w:r>
        <w:rPr>
          <w:rFonts w:hint="default" w:ascii="宋体" w:hAnsi="宋体" w:cs="仿宋"/>
          <w:bCs/>
          <w:color w:val="000000" w:themeColor="text1"/>
          <w:sz w:val="24"/>
          <w:highlight w:val="none"/>
          <w14:textFill>
            <w14:solidFill>
              <w14:schemeClr w14:val="tx1"/>
            </w14:solidFill>
          </w14:textFill>
        </w:rPr>
        <w:t>本合同</w:t>
      </w:r>
      <w:r>
        <w:rPr>
          <w:rFonts w:hint="eastAsia" w:ascii="宋体" w:hAnsi="宋体" w:cs="仿宋"/>
          <w:bCs/>
          <w:color w:val="000000" w:themeColor="text1"/>
          <w:sz w:val="24"/>
          <w:highlight w:val="none"/>
          <w14:textFill>
            <w14:solidFill>
              <w14:schemeClr w14:val="tx1"/>
            </w14:solidFill>
          </w14:textFill>
        </w:rPr>
        <w:t>甲乙双方及双方人员的</w:t>
      </w:r>
      <w:r>
        <w:rPr>
          <w:rFonts w:hint="default" w:ascii="宋体" w:hAnsi="宋体" w:cs="仿宋"/>
          <w:bCs/>
          <w:color w:val="000000" w:themeColor="text1"/>
          <w:sz w:val="24"/>
          <w:highlight w:val="none"/>
          <w14:textFill>
            <w14:solidFill>
              <w14:schemeClr w14:val="tx1"/>
            </w14:solidFill>
          </w14:textFill>
        </w:rPr>
        <w:t>联系方式和联系信息适用于双方往来联系、书面文件送达及争议解决时法律文书送达。因</w:t>
      </w:r>
      <w:r>
        <w:rPr>
          <w:rFonts w:hint="eastAsia" w:ascii="宋体" w:hAnsi="宋体" w:cs="仿宋"/>
          <w:bCs/>
          <w:color w:val="000000" w:themeColor="text1"/>
          <w:sz w:val="24"/>
          <w:highlight w:val="none"/>
          <w14:textFill>
            <w14:solidFill>
              <w14:schemeClr w14:val="tx1"/>
            </w14:solidFill>
          </w14:textFill>
        </w:rPr>
        <w:t>一</w:t>
      </w:r>
      <w:r>
        <w:rPr>
          <w:rFonts w:hint="default" w:ascii="宋体" w:hAnsi="宋体" w:cs="仿宋"/>
          <w:bCs/>
          <w:color w:val="000000" w:themeColor="text1"/>
          <w:sz w:val="24"/>
          <w:highlight w:val="none"/>
          <w14:textFill>
            <w14:solidFill>
              <w14:schemeClr w14:val="tx1"/>
            </w14:solidFill>
          </w14:textFill>
        </w:rPr>
        <w:t>方提供的联系方式和联系信息错误而无法直接送达的，自交邮后第7日视为送达。一方变更名称、地址、联系人或通信终端的，应当在变更后3日内及时书面通知对方，对方实际收到变更通知前的送达仍为有效送达。一方变更名称、地址、联系人或通信终端未及时通知对方导致双方履行合同障碍及造成的损失，由未及时通知方承担。</w:t>
      </w:r>
    </w:p>
    <w:p>
      <w:pPr>
        <w:numPr>
          <w:ilvl w:val="0"/>
          <w:numId w:val="3"/>
        </w:numPr>
        <w:adjustRightInd w:val="0"/>
        <w:snapToGrid w:val="0"/>
        <w:spacing w:line="360" w:lineRule="auto"/>
        <w:ind w:firstLine="0"/>
        <w:rPr>
          <w:rFonts w:hint="eastAsia"/>
          <w:b/>
          <w:color w:val="000000" w:themeColor="text1"/>
          <w:sz w:val="24"/>
          <w:highlight w:val="none"/>
          <w:u w:val="wave"/>
          <w14:textFill>
            <w14:solidFill>
              <w14:schemeClr w14:val="tx1"/>
            </w14:solidFill>
          </w14:textFill>
        </w:rPr>
      </w:pPr>
      <w:r>
        <w:rPr>
          <w:rFonts w:hint="eastAsia"/>
          <w:b/>
          <w:color w:val="000000" w:themeColor="text1"/>
          <w:sz w:val="24"/>
          <w:highlight w:val="none"/>
          <w:u w:val="wave"/>
          <w14:textFill>
            <w14:solidFill>
              <w14:schemeClr w14:val="tx1"/>
            </w14:solidFill>
          </w14:textFill>
        </w:rPr>
        <w:t>其他</w:t>
      </w:r>
    </w:p>
    <w:p>
      <w:pPr>
        <w:numPr>
          <w:ilvl w:val="0"/>
          <w:numId w:val="13"/>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ascii="宋体" w:hAnsi="宋体" w:cs="仿宋"/>
          <w:bCs/>
          <w:color w:val="000000" w:themeColor="text1"/>
          <w:sz w:val="24"/>
          <w:highlight w:val="none"/>
          <w14:textFill>
            <w14:solidFill>
              <w14:schemeClr w14:val="tx1"/>
            </w14:solidFill>
          </w14:textFill>
        </w:rPr>
        <w:t>本合同未尽事宜，由甲乙双方协商并签订补充协议</w:t>
      </w:r>
      <w:r>
        <w:rPr>
          <w:rFonts w:hint="eastAsia" w:ascii="宋体" w:hAnsi="宋体" w:cs="仿宋"/>
          <w:bCs/>
          <w:color w:val="000000" w:themeColor="text1"/>
          <w:sz w:val="24"/>
          <w:highlight w:val="none"/>
          <w14:textFill>
            <w14:solidFill>
              <w14:schemeClr w14:val="tx1"/>
            </w14:solidFill>
          </w14:textFill>
        </w:rPr>
        <w:t>，补充协议与本合同具有同等法律效力</w:t>
      </w:r>
      <w:r>
        <w:rPr>
          <w:rFonts w:ascii="宋体" w:hAnsi="宋体" w:cs="仿宋"/>
          <w:bCs/>
          <w:color w:val="000000" w:themeColor="text1"/>
          <w:sz w:val="24"/>
          <w:highlight w:val="none"/>
          <w14:textFill>
            <w14:solidFill>
              <w14:schemeClr w14:val="tx1"/>
            </w14:solidFill>
          </w14:textFill>
        </w:rPr>
        <w:t>。</w:t>
      </w:r>
    </w:p>
    <w:p>
      <w:pPr>
        <w:numPr>
          <w:ilvl w:val="0"/>
          <w:numId w:val="13"/>
        </w:numPr>
        <w:adjustRightInd w:val="0"/>
        <w:snapToGrid w:val="0"/>
        <w:spacing w:line="360" w:lineRule="auto"/>
        <w:rPr>
          <w:rFonts w:ascii="宋体" w:hAnsi="宋体" w:cs="仿宋"/>
          <w:bCs/>
          <w:color w:val="000000" w:themeColor="text1"/>
          <w:sz w:val="24"/>
          <w:highlight w:val="none"/>
          <w14:textFill>
            <w14:solidFill>
              <w14:schemeClr w14:val="tx1"/>
            </w14:solidFill>
          </w14:textFill>
        </w:rPr>
      </w:pPr>
      <w:r>
        <w:rPr>
          <w:rFonts w:hint="eastAsia" w:ascii="宋体" w:hAnsi="宋体" w:cs="仿宋"/>
          <w:bCs/>
          <w:color w:val="000000" w:themeColor="text1"/>
          <w:sz w:val="24"/>
          <w:highlight w:val="none"/>
          <w14:textFill>
            <w14:solidFill>
              <w14:schemeClr w14:val="tx1"/>
            </w14:solidFill>
          </w14:textFill>
        </w:rPr>
        <w:t>本合同自双方签字并盖章之日起生效，至合同约定的履行期限届满之日终止。</w:t>
      </w:r>
    </w:p>
    <w:p>
      <w:pPr>
        <w:numPr>
          <w:ilvl w:val="0"/>
          <w:numId w:val="13"/>
        </w:numPr>
        <w:adjustRightInd w:val="0"/>
        <w:snapToGrid w:val="0"/>
        <w:spacing w:line="360" w:lineRule="auto"/>
        <w:rPr>
          <w:rFonts w:hint="default" w:ascii="宋体" w:hAnsi="宋体" w:cs="仿宋"/>
          <w:b w:val="0"/>
          <w:bCs/>
          <w:color w:val="000000" w:themeColor="text1"/>
          <w:sz w:val="24"/>
          <w:highlight w:val="none"/>
          <w:u w:val="none"/>
          <w14:textFill>
            <w14:solidFill>
              <w14:schemeClr w14:val="tx1"/>
            </w14:solidFill>
          </w14:textFill>
        </w:rPr>
      </w:pPr>
      <w:r>
        <w:rPr>
          <w:rFonts w:hint="default" w:ascii="宋体" w:hAnsi="宋体" w:cs="仿宋"/>
          <w:b w:val="0"/>
          <w:bCs/>
          <w:color w:val="000000" w:themeColor="text1"/>
          <w:sz w:val="24"/>
          <w:highlight w:val="none"/>
          <w:u w:val="none"/>
          <w14:textFill>
            <w14:solidFill>
              <w14:schemeClr w14:val="tx1"/>
            </w14:solidFill>
          </w14:textFill>
        </w:rPr>
        <w:t>本合同一式</w:t>
      </w:r>
      <w:r>
        <w:rPr>
          <w:rFonts w:hint="eastAsia" w:ascii="宋体" w:hAnsi="宋体" w:cs="仿宋"/>
          <w:bCs/>
          <w:color w:val="000000" w:themeColor="text1"/>
          <w:sz w:val="24"/>
          <w:highlight w:val="none"/>
          <w:u w:val="single"/>
          <w14:textFill>
            <w14:solidFill>
              <w14:schemeClr w14:val="tx1"/>
            </w14:solidFill>
          </w14:textFill>
        </w:rPr>
        <w:t>【伍】</w:t>
      </w:r>
      <w:r>
        <w:rPr>
          <w:rFonts w:hint="default" w:ascii="宋体" w:hAnsi="宋体" w:cs="仿宋"/>
          <w:b w:val="0"/>
          <w:bCs/>
          <w:color w:val="000000" w:themeColor="text1"/>
          <w:sz w:val="24"/>
          <w:highlight w:val="none"/>
          <w:u w:val="none"/>
          <w14:textFill>
            <w14:solidFill>
              <w14:schemeClr w14:val="tx1"/>
            </w14:solidFill>
          </w14:textFill>
        </w:rPr>
        <w:t>份，甲方执</w:t>
      </w:r>
      <w:r>
        <w:rPr>
          <w:rFonts w:hint="eastAsia" w:ascii="宋体" w:hAnsi="宋体" w:cs="仿宋"/>
          <w:bCs/>
          <w:color w:val="000000" w:themeColor="text1"/>
          <w:sz w:val="24"/>
          <w:highlight w:val="none"/>
          <w:u w:val="single"/>
          <w14:textFill>
            <w14:solidFill>
              <w14:schemeClr w14:val="tx1"/>
            </w14:solidFill>
          </w14:textFill>
        </w:rPr>
        <w:t>【叁】</w:t>
      </w:r>
      <w:r>
        <w:rPr>
          <w:rFonts w:hint="default" w:ascii="宋体" w:hAnsi="宋体" w:cs="仿宋"/>
          <w:b w:val="0"/>
          <w:bCs/>
          <w:color w:val="000000" w:themeColor="text1"/>
          <w:sz w:val="24"/>
          <w:highlight w:val="none"/>
          <w:u w:val="none"/>
          <w14:textFill>
            <w14:solidFill>
              <w14:schemeClr w14:val="tx1"/>
            </w14:solidFill>
          </w14:textFill>
        </w:rPr>
        <w:t>份，乙方执</w:t>
      </w:r>
      <w:r>
        <w:rPr>
          <w:rFonts w:hint="eastAsia" w:ascii="宋体" w:hAnsi="宋体" w:cs="仿宋"/>
          <w:bCs/>
          <w:color w:val="000000" w:themeColor="text1"/>
          <w:sz w:val="24"/>
          <w:highlight w:val="none"/>
          <w:u w:val="single"/>
          <w14:textFill>
            <w14:solidFill>
              <w14:schemeClr w14:val="tx1"/>
            </w14:solidFill>
          </w14:textFill>
        </w:rPr>
        <w:t>【贰】</w:t>
      </w:r>
      <w:r>
        <w:rPr>
          <w:rFonts w:hint="default" w:ascii="宋体" w:hAnsi="宋体" w:cs="仿宋"/>
          <w:b w:val="0"/>
          <w:bCs/>
          <w:color w:val="000000" w:themeColor="text1"/>
          <w:sz w:val="24"/>
          <w:highlight w:val="none"/>
          <w:u w:val="none"/>
          <w14:textFill>
            <w14:solidFill>
              <w14:schemeClr w14:val="tx1"/>
            </w14:solidFill>
          </w14:textFill>
        </w:rPr>
        <w:t>份，</w:t>
      </w:r>
      <w:r>
        <w:rPr>
          <w:rFonts w:hint="eastAsia" w:ascii="宋体" w:hAnsi="宋体" w:cs="仿宋"/>
          <w:bCs/>
          <w:color w:val="000000" w:themeColor="text1"/>
          <w:sz w:val="24"/>
          <w:highlight w:val="none"/>
          <w14:textFill>
            <w14:solidFill>
              <w14:schemeClr w14:val="tx1"/>
            </w14:solidFill>
          </w14:textFill>
        </w:rPr>
        <w:t>均</w:t>
      </w:r>
      <w:r>
        <w:rPr>
          <w:rFonts w:hint="default" w:ascii="宋体" w:hAnsi="宋体" w:cs="仿宋"/>
          <w:b w:val="0"/>
          <w:bCs/>
          <w:color w:val="000000" w:themeColor="text1"/>
          <w:sz w:val="24"/>
          <w:highlight w:val="none"/>
          <w:u w:val="none"/>
          <w14:textFill>
            <w14:solidFill>
              <w14:schemeClr w14:val="tx1"/>
            </w14:solidFill>
          </w14:textFill>
        </w:rPr>
        <w:t>具有同等法律效力。</w:t>
      </w:r>
    </w:p>
    <w:p>
      <w:pPr>
        <w:tabs>
          <w:tab w:val="left" w:pos="540"/>
        </w:tabs>
        <w:snapToGrid w:val="0"/>
        <w:spacing w:line="360" w:lineRule="auto"/>
        <w:ind w:right="840"/>
        <w:jc w:val="left"/>
        <w:rPr>
          <w:rFonts w:hint="eastAsia"/>
          <w:b w:val="0"/>
          <w:bCs/>
          <w:color w:val="000000" w:themeColor="text1"/>
          <w:sz w:val="24"/>
          <w:highlight w:val="none"/>
          <w:u w:val="none"/>
          <w14:textFill>
            <w14:solidFill>
              <w14:schemeClr w14:val="tx1"/>
            </w14:solidFill>
          </w14:textFill>
        </w:rPr>
      </w:pPr>
      <w:r>
        <w:rPr>
          <w:rFonts w:hint="eastAsia"/>
          <w:b w:val="0"/>
          <w:bCs/>
          <w:color w:val="000000" w:themeColor="text1"/>
          <w:sz w:val="24"/>
          <w:highlight w:val="none"/>
          <w:u w:val="none"/>
          <w14:textFill>
            <w14:solidFill>
              <w14:schemeClr w14:val="tx1"/>
            </w14:solidFill>
          </w14:textFill>
        </w:rPr>
        <w:t>附件：</w:t>
      </w:r>
    </w:p>
    <w:p>
      <w:pPr>
        <w:tabs>
          <w:tab w:val="left" w:pos="540"/>
        </w:tabs>
        <w:snapToGrid w:val="0"/>
        <w:spacing w:line="360" w:lineRule="auto"/>
        <w:ind w:right="840"/>
        <w:jc w:val="left"/>
        <w:rPr>
          <w:rFonts w:hint="eastAsia"/>
          <w:b w:val="0"/>
          <w:bCs/>
          <w:color w:val="000000" w:themeColor="text1"/>
          <w:sz w:val="24"/>
          <w:highlight w:val="none"/>
          <w:u w:val="none"/>
          <w14:textFill>
            <w14:solidFill>
              <w14:schemeClr w14:val="tx1"/>
            </w14:solidFill>
          </w14:textFill>
        </w:rPr>
      </w:pPr>
      <w:r>
        <w:rPr>
          <w:rFonts w:hint="eastAsia"/>
          <w:bCs/>
          <w:color w:val="000000" w:themeColor="text1"/>
          <w:sz w:val="24"/>
          <w:highlight w:val="none"/>
          <w14:textFill>
            <w14:solidFill>
              <w14:schemeClr w14:val="tx1"/>
            </w14:solidFill>
          </w14:textFill>
        </w:rPr>
        <w:t>附表一：《展会服务需求确认表》</w:t>
      </w:r>
    </w:p>
    <w:p>
      <w:pPr>
        <w:tabs>
          <w:tab w:val="left" w:pos="540"/>
        </w:tabs>
        <w:snapToGrid w:val="0"/>
        <w:spacing w:line="360" w:lineRule="auto"/>
        <w:ind w:right="840"/>
        <w:jc w:val="left"/>
        <w:rPr>
          <w:rFonts w:hint="eastAsia" w:ascii="Times New Roman" w:hAnsi="Times New Roman" w:cs="Times New Roman"/>
          <w:b w:val="0"/>
          <w:bCs/>
          <w:color w:val="000000" w:themeColor="text1"/>
          <w:kern w:val="2"/>
          <w:sz w:val="24"/>
          <w:highlight w:val="none"/>
          <w14:textFill>
            <w14:solidFill>
              <w14:schemeClr w14:val="tx1"/>
            </w14:solidFill>
          </w14:textFill>
        </w:rPr>
      </w:pPr>
      <w:r>
        <w:rPr>
          <w:rFonts w:hint="eastAsia" w:ascii="Times New Roman" w:hAnsi="Times New Roman" w:cs="Times New Roman"/>
          <w:b w:val="0"/>
          <w:bCs/>
          <w:color w:val="000000" w:themeColor="text1"/>
          <w:kern w:val="2"/>
          <w:sz w:val="24"/>
          <w:highlight w:val="none"/>
          <w14:textFill>
            <w14:solidFill>
              <w14:schemeClr w14:val="tx1"/>
            </w14:solidFill>
          </w14:textFill>
        </w:rPr>
        <w:t>附表二</w:t>
      </w:r>
      <w:r>
        <w:rPr>
          <w:rFonts w:hint="eastAsia"/>
          <w:bCs/>
          <w:color w:val="000000" w:themeColor="text1"/>
          <w:sz w:val="24"/>
          <w:highlight w:val="none"/>
          <w14:textFill>
            <w14:solidFill>
              <w14:schemeClr w14:val="tx1"/>
            </w14:solidFill>
          </w14:textFill>
        </w:rPr>
        <w:t>：</w:t>
      </w:r>
      <w:r>
        <w:rPr>
          <w:rFonts w:hint="eastAsia" w:ascii="Times New Roman" w:hAnsi="Times New Roman" w:cs="Times New Roman"/>
          <w:b w:val="0"/>
          <w:bCs/>
          <w:color w:val="000000" w:themeColor="text1"/>
          <w:kern w:val="2"/>
          <w:sz w:val="24"/>
          <w:highlight w:val="none"/>
          <w14:textFill>
            <w14:solidFill>
              <w14:schemeClr w14:val="tx1"/>
            </w14:solidFill>
          </w14:textFill>
        </w:rPr>
        <w:t>《展会水电现场外包服务评价表》</w:t>
      </w:r>
    </w:p>
    <w:p>
      <w:pPr>
        <w:tabs>
          <w:tab w:val="left" w:pos="540"/>
        </w:tabs>
        <w:snapToGrid w:val="0"/>
        <w:spacing w:line="360" w:lineRule="auto"/>
        <w:ind w:right="840"/>
        <w:jc w:val="left"/>
        <w:rPr>
          <w:rFonts w:hint="default" w:ascii="Times New Roman" w:hAnsi="Times New Roman" w:eastAsia="宋体" w:cs="Times New Roman"/>
          <w:b w:val="0"/>
          <w:bCs/>
          <w:color w:val="000000" w:themeColor="text1"/>
          <w:kern w:val="2"/>
          <w:sz w:val="24"/>
          <w:highlight w:val="none"/>
          <w:lang w:val="en-US" w:eastAsia="zh-CN"/>
          <w14:textFill>
            <w14:solidFill>
              <w14:schemeClr w14:val="tx1"/>
            </w14:solidFill>
          </w14:textFill>
        </w:rPr>
      </w:pPr>
      <w:r>
        <w:rPr>
          <w:rFonts w:hint="eastAsia" w:cs="Times New Roman"/>
          <w:b w:val="0"/>
          <w:bCs/>
          <w:color w:val="000000" w:themeColor="text1"/>
          <w:kern w:val="2"/>
          <w:sz w:val="24"/>
          <w:highlight w:val="none"/>
          <w:lang w:val="en-US" w:eastAsia="zh-CN"/>
          <w14:textFill>
            <w14:solidFill>
              <w14:schemeClr w14:val="tx1"/>
            </w14:solidFill>
          </w14:textFill>
        </w:rPr>
        <w:t>附件三：《安全生产协议书》</w:t>
      </w:r>
    </w:p>
    <w:p>
      <w:pPr>
        <w:widowControl/>
        <w:spacing w:line="360" w:lineRule="auto"/>
        <w:jc w:val="left"/>
        <w:rPr>
          <w:rFonts w:hint="eastAsia" w:ascii="宋体" w:hAnsi="宋体"/>
          <w:b/>
          <w:color w:val="000000" w:themeColor="text1"/>
          <w:sz w:val="24"/>
          <w:highlight w:val="none"/>
          <w14:textFill>
            <w14:solidFill>
              <w14:schemeClr w14:val="tx1"/>
            </w14:solidFill>
          </w14:textFill>
        </w:rPr>
      </w:pPr>
    </w:p>
    <w:p>
      <w:pPr>
        <w:widowControl/>
        <w:spacing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（以下无正文，为合同签署页</w:t>
      </w:r>
      <w:r>
        <w:rPr>
          <w:rFonts w:ascii="宋体" w:hAnsi="宋体"/>
          <w:b/>
          <w:color w:val="000000" w:themeColor="text1"/>
          <w:sz w:val="24"/>
          <w:highlight w:val="none"/>
          <w14:textFill>
            <w14:solidFill>
              <w14:schemeClr w14:val="tx1"/>
            </w14:solidFill>
          </w14:textFill>
        </w:rPr>
        <w:t>）</w:t>
      </w:r>
    </w:p>
    <w:tbl>
      <w:tblPr>
        <w:tblStyle w:val="17"/>
        <w:tblW w:w="8361" w:type="dxa"/>
        <w:tblInd w:w="0" w:type="dxa"/>
        <w:tblLayout w:type="fixed"/>
        <w:tblCellMar>
          <w:top w:w="0" w:type="dxa"/>
          <w:left w:w="108" w:type="dxa"/>
          <w:bottom w:w="0" w:type="dxa"/>
          <w:right w:w="108" w:type="dxa"/>
        </w:tblCellMar>
      </w:tblPr>
      <w:tblGrid>
        <w:gridCol w:w="4015"/>
        <w:gridCol w:w="4346"/>
      </w:tblGrid>
      <w:tr>
        <w:trPr>
          <w:trHeight w:val="844" w:hRule="atLeast"/>
        </w:trPr>
        <w:tc>
          <w:tcPr>
            <w:tcW w:w="4015" w:type="dxa"/>
            <w:tcBorders>
              <w:right w:val="dashSmallGap" w:color="auto" w:sz="4" w:space="0"/>
            </w:tcBorders>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甲方（盖章）：</w:t>
            </w:r>
          </w:p>
        </w:tc>
        <w:tc>
          <w:tcPr>
            <w:tcW w:w="4346" w:type="dxa"/>
            <w:tcBorders>
              <w:left w:val="dashSmallGap" w:color="auto" w:sz="4" w:space="0"/>
            </w:tcBorders>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乙方（盖章）：</w:t>
            </w:r>
          </w:p>
        </w:tc>
      </w:tr>
      <w:tr>
        <w:tblPrEx>
          <w:tblCellMar>
            <w:top w:w="0" w:type="dxa"/>
            <w:left w:w="108" w:type="dxa"/>
            <w:bottom w:w="0" w:type="dxa"/>
            <w:right w:w="108" w:type="dxa"/>
          </w:tblCellMar>
        </w:tblPrEx>
        <w:trPr>
          <w:trHeight w:val="750" w:hRule="atLeast"/>
        </w:trPr>
        <w:tc>
          <w:tcPr>
            <w:tcW w:w="4015" w:type="dxa"/>
            <w:tcBorders>
              <w:right w:val="dashSmallGap" w:color="auto" w:sz="4" w:space="0"/>
            </w:tcBorders>
            <w:noWrap w:val="0"/>
            <w:vAlign w:val="top"/>
          </w:tcPr>
          <w:p>
            <w:pPr>
              <w:spacing w:line="360" w:lineRule="auto"/>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法定代表人或委托代理</w:t>
            </w:r>
            <w:r>
              <w:rPr>
                <w:rFonts w:hint="eastAsia"/>
                <w:color w:val="000000" w:themeColor="text1"/>
                <w:sz w:val="24"/>
                <w:highlight w:val="none"/>
                <w:lang w:eastAsia="zh-CN"/>
                <w14:textFill>
                  <w14:solidFill>
                    <w14:schemeClr w14:val="tx1"/>
                  </w14:solidFill>
                </w14:textFill>
              </w:rPr>
              <w:t>人</w:t>
            </w:r>
          </w:p>
          <w:p>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（签字或盖章）：</w:t>
            </w:r>
          </w:p>
          <w:p>
            <w:pPr>
              <w:spacing w:line="360" w:lineRule="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p>
        </w:tc>
        <w:tc>
          <w:tcPr>
            <w:tcW w:w="4346" w:type="dxa"/>
            <w:tcBorders>
              <w:left w:val="dashSmallGap" w:color="auto" w:sz="4" w:space="0"/>
            </w:tcBorders>
            <w:noWrap w:val="0"/>
            <w:vAlign w:val="top"/>
          </w:tcPr>
          <w:p>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法定代表人或委托代理人</w:t>
            </w:r>
          </w:p>
          <w:p>
            <w:pPr>
              <w:spacing w:line="360" w:lineRule="auto"/>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（签字或盖章）：</w:t>
            </w:r>
          </w:p>
          <w:p>
            <w:pPr>
              <w:spacing w:line="360" w:lineRule="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w:t>
            </w:r>
          </w:p>
        </w:tc>
      </w:tr>
      <w:tr>
        <w:tblPrEx>
          <w:tblCellMar>
            <w:top w:w="0" w:type="dxa"/>
            <w:left w:w="108" w:type="dxa"/>
            <w:bottom w:w="0" w:type="dxa"/>
            <w:right w:w="108" w:type="dxa"/>
          </w:tblCellMar>
        </w:tblPrEx>
        <w:tc>
          <w:tcPr>
            <w:tcW w:w="4015" w:type="dxa"/>
            <w:tcBorders>
              <w:right w:val="dashSmallGap" w:color="auto" w:sz="4" w:space="0"/>
            </w:tcBorders>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地址：</w:t>
            </w:r>
          </w:p>
        </w:tc>
        <w:tc>
          <w:tcPr>
            <w:tcW w:w="4346" w:type="dxa"/>
            <w:tcBorders>
              <w:left w:val="dashSmallGap" w:color="auto" w:sz="4" w:space="0"/>
            </w:tcBorders>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地址：</w:t>
            </w:r>
          </w:p>
        </w:tc>
      </w:tr>
      <w:tr>
        <w:tblPrEx>
          <w:tblCellMar>
            <w:top w:w="0" w:type="dxa"/>
            <w:left w:w="108" w:type="dxa"/>
            <w:bottom w:w="0" w:type="dxa"/>
            <w:right w:w="108" w:type="dxa"/>
          </w:tblCellMar>
        </w:tblPrEx>
        <w:trPr>
          <w:trHeight w:val="90" w:hRule="atLeast"/>
        </w:trPr>
        <w:tc>
          <w:tcPr>
            <w:tcW w:w="4015" w:type="dxa"/>
            <w:tcBorders>
              <w:right w:val="dashSmallGap" w:color="auto" w:sz="4" w:space="0"/>
            </w:tcBorders>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电话：</w:t>
            </w:r>
          </w:p>
        </w:tc>
        <w:tc>
          <w:tcPr>
            <w:tcW w:w="4346" w:type="dxa"/>
            <w:tcBorders>
              <w:left w:val="dashSmallGap" w:color="auto" w:sz="4" w:space="0"/>
            </w:tcBorders>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电话：</w:t>
            </w:r>
          </w:p>
        </w:tc>
      </w:tr>
      <w:tr>
        <w:tblPrEx>
          <w:tblCellMar>
            <w:top w:w="0" w:type="dxa"/>
            <w:left w:w="108" w:type="dxa"/>
            <w:bottom w:w="0" w:type="dxa"/>
            <w:right w:w="108" w:type="dxa"/>
          </w:tblCellMar>
        </w:tblPrEx>
        <w:tc>
          <w:tcPr>
            <w:tcW w:w="4015" w:type="dxa"/>
            <w:tcBorders>
              <w:right w:val="dashSmallGap" w:color="auto" w:sz="4" w:space="0"/>
            </w:tcBorders>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传真：</w:t>
            </w:r>
          </w:p>
        </w:tc>
        <w:tc>
          <w:tcPr>
            <w:tcW w:w="4346" w:type="dxa"/>
            <w:tcBorders>
              <w:left w:val="dashSmallGap" w:color="auto" w:sz="4" w:space="0"/>
            </w:tcBorders>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传真：</w:t>
            </w:r>
          </w:p>
        </w:tc>
      </w:tr>
      <w:tr>
        <w:tblPrEx>
          <w:tblCellMar>
            <w:top w:w="0" w:type="dxa"/>
            <w:left w:w="108" w:type="dxa"/>
            <w:bottom w:w="0" w:type="dxa"/>
            <w:right w:w="108" w:type="dxa"/>
          </w:tblCellMar>
        </w:tblPrEx>
        <w:tc>
          <w:tcPr>
            <w:tcW w:w="4015" w:type="dxa"/>
            <w:tcBorders>
              <w:right w:val="dashSmallGap" w:color="auto" w:sz="4" w:space="0"/>
            </w:tcBorders>
            <w:noWrap w:val="0"/>
            <w:vAlign w:val="top"/>
          </w:tcPr>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经办人：        </w:t>
            </w:r>
          </w:p>
        </w:tc>
        <w:tc>
          <w:tcPr>
            <w:tcW w:w="4346" w:type="dxa"/>
            <w:tcBorders>
              <w:left w:val="dashSmallGap" w:color="auto" w:sz="4" w:space="0"/>
            </w:tcBorders>
            <w:noWrap w:val="0"/>
            <w:vAlign w:val="top"/>
          </w:tcPr>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经办人：</w:t>
            </w:r>
          </w:p>
        </w:tc>
      </w:tr>
      <w:tr>
        <w:tblPrEx>
          <w:tblCellMar>
            <w:top w:w="0" w:type="dxa"/>
            <w:left w:w="108" w:type="dxa"/>
            <w:bottom w:w="0" w:type="dxa"/>
            <w:right w:w="108" w:type="dxa"/>
          </w:tblCellMar>
        </w:tblPrEx>
        <w:tc>
          <w:tcPr>
            <w:tcW w:w="4015" w:type="dxa"/>
            <w:noWrap w:val="0"/>
            <w:vAlign w:val="top"/>
          </w:tcPr>
          <w:p>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合同签订日期：</w:t>
            </w:r>
            <w:r>
              <w:rPr>
                <w:rFonts w:hint="eastAsia"/>
                <w:color w:val="000000" w:themeColor="text1"/>
                <w:sz w:val="24"/>
                <w:highlight w:val="none"/>
                <w14:textFill>
                  <w14:solidFill>
                    <w14:schemeClr w14:val="tx1"/>
                  </w14:solidFill>
                </w14:textFill>
              </w:rPr>
              <w:t xml:space="preserve">        年     月    日</w:t>
            </w:r>
          </w:p>
        </w:tc>
        <w:tc>
          <w:tcPr>
            <w:tcW w:w="4346" w:type="dxa"/>
            <w:noWrap w:val="0"/>
            <w:vAlign w:val="top"/>
          </w:tcPr>
          <w:p>
            <w:pPr>
              <w:spacing w:line="360" w:lineRule="auto"/>
              <w:rPr>
                <w:rFonts w:ascii="宋体" w:hAnsi="宋体"/>
                <w:color w:val="000000" w:themeColor="text1"/>
                <w:sz w:val="24"/>
                <w:highlight w:val="none"/>
                <w14:textFill>
                  <w14:solidFill>
                    <w14:schemeClr w14:val="tx1"/>
                  </w14:solidFill>
                </w14:textFill>
              </w:rPr>
            </w:pPr>
          </w:p>
        </w:tc>
      </w:tr>
    </w:tbl>
    <w:p>
      <w:pPr>
        <w:spacing w:line="360" w:lineRule="auto"/>
        <w:rPr>
          <w:color w:val="000000" w:themeColor="text1"/>
          <w:highlight w:val="none"/>
          <w14:textFill>
            <w14:solidFill>
              <w14:schemeClr w14:val="tx1"/>
            </w14:solidFill>
          </w14:textFill>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pPr>
        <w:tabs>
          <w:tab w:val="left" w:pos="540"/>
        </w:tabs>
        <w:snapToGrid w:val="0"/>
        <w:spacing w:line="360" w:lineRule="auto"/>
        <w:ind w:left="210" w:right="840"/>
        <w:jc w:val="left"/>
        <w:rPr>
          <w:rFonts w:hint="eastAsia" w:ascii="宋体" w:hAnsi="宋体" w:cs="仿宋"/>
          <w:b/>
          <w:color w:val="000000" w:themeColor="text1"/>
          <w:sz w:val="28"/>
          <w:highlight w:val="none"/>
          <w:lang w:val="en-US" w:eastAsia="zh-CN"/>
          <w14:textFill>
            <w14:solidFill>
              <w14:schemeClr w14:val="tx1"/>
            </w14:solidFill>
          </w14:textFill>
        </w:rPr>
      </w:pPr>
      <w:r>
        <w:rPr>
          <w:rFonts w:hint="eastAsia" w:ascii="宋体" w:hAnsi="宋体" w:cs="仿宋"/>
          <w:b/>
          <w:color w:val="000000" w:themeColor="text1"/>
          <w:sz w:val="28"/>
          <w:highlight w:val="none"/>
          <w:lang w:val="en-US" w:eastAsia="zh-CN"/>
          <w14:textFill>
            <w14:solidFill>
              <w14:schemeClr w14:val="tx1"/>
            </w14:solidFill>
          </w14:textFill>
        </w:rPr>
        <w:t>附件2：</w:t>
      </w:r>
    </w:p>
    <w:p>
      <w:pPr>
        <w:tabs>
          <w:tab w:val="left" w:pos="540"/>
        </w:tabs>
        <w:snapToGrid w:val="0"/>
        <w:spacing w:line="360" w:lineRule="auto"/>
        <w:ind w:left="210" w:right="840"/>
        <w:jc w:val="center"/>
        <w:rPr>
          <w:rFonts w:hint="eastAsia" w:ascii="宋体" w:hAnsi="宋体" w:cs="仿宋"/>
          <w:b w:val="0"/>
          <w:color w:val="000000" w:themeColor="text1"/>
          <w:sz w:val="24"/>
          <w:szCs w:val="21"/>
          <w:highlight w:val="none"/>
          <w14:textFill>
            <w14:solidFill>
              <w14:schemeClr w14:val="tx1"/>
            </w14:solidFill>
          </w14:textFill>
        </w:rPr>
      </w:pPr>
      <w:r>
        <w:rPr>
          <w:rFonts w:ascii="宋体" w:hAnsi="宋体" w:cs="仿宋"/>
          <w:b/>
          <w:color w:val="000000" w:themeColor="text1"/>
          <w:sz w:val="28"/>
          <w:highlight w:val="none"/>
          <w14:textFill>
            <w14:solidFill>
              <w14:schemeClr w14:val="tx1"/>
            </w14:solidFill>
          </w14:textFill>
        </w:rPr>
        <w:t>附表</w:t>
      </w:r>
      <w:r>
        <w:rPr>
          <w:rFonts w:hint="eastAsia" w:ascii="宋体" w:hAnsi="宋体" w:cs="仿宋"/>
          <w:b/>
          <w:color w:val="000000" w:themeColor="text1"/>
          <w:sz w:val="28"/>
          <w:highlight w:val="none"/>
          <w14:textFill>
            <w14:solidFill>
              <w14:schemeClr w14:val="tx1"/>
            </w14:solidFill>
          </w14:textFill>
        </w:rPr>
        <w:t>一</w:t>
      </w:r>
      <w:r>
        <w:rPr>
          <w:rFonts w:ascii="宋体" w:hAnsi="宋体" w:cs="仿宋"/>
          <w:b/>
          <w:color w:val="000000" w:themeColor="text1"/>
          <w:sz w:val="28"/>
          <w:highlight w:val="none"/>
          <w14:textFill>
            <w14:solidFill>
              <w14:schemeClr w14:val="tx1"/>
            </w14:solidFill>
          </w14:textFill>
        </w:rPr>
        <w:t xml:space="preserve"> 《展会服务需求确认表》</w:t>
      </w:r>
    </w:p>
    <w:p>
      <w:pPr>
        <w:pStyle w:val="10"/>
        <w:spacing w:line="360" w:lineRule="auto"/>
        <w:ind w:firstLine="240" w:firstLineChars="100"/>
        <w:rPr>
          <w:rFonts w:cs="仿宋"/>
          <w:color w:val="000000" w:themeColor="text1"/>
          <w:sz w:val="24"/>
          <w:szCs w:val="21"/>
          <w:highlight w:val="none"/>
          <w14:textFill>
            <w14:solidFill>
              <w14:schemeClr w14:val="tx1"/>
            </w14:solidFill>
          </w14:textFill>
        </w:rPr>
      </w:pPr>
      <w:r>
        <w:rPr>
          <w:rFonts w:hint="eastAsia" w:cs="仿宋"/>
          <w:color w:val="000000" w:themeColor="text1"/>
          <w:sz w:val="24"/>
          <w:szCs w:val="21"/>
          <w:highlight w:val="none"/>
          <w14:textFill>
            <w14:solidFill>
              <w14:schemeClr w14:val="tx1"/>
            </w14:solidFill>
          </w14:textFill>
        </w:rPr>
        <w:t>展会</w:t>
      </w:r>
      <w:r>
        <w:rPr>
          <w:rFonts w:cs="仿宋"/>
          <w:color w:val="000000" w:themeColor="text1"/>
          <w:sz w:val="24"/>
          <w:szCs w:val="21"/>
          <w:highlight w:val="none"/>
          <w14:textFill>
            <w14:solidFill>
              <w14:schemeClr w14:val="tx1"/>
            </w14:solidFill>
          </w14:textFill>
        </w:rPr>
        <w:t>名称：</w:t>
      </w:r>
    </w:p>
    <w:p>
      <w:pPr>
        <w:pStyle w:val="10"/>
        <w:spacing w:line="360" w:lineRule="auto"/>
        <w:ind w:firstLine="240" w:firstLineChars="100"/>
        <w:rPr>
          <w:rFonts w:cs="仿宋"/>
          <w:color w:val="000000" w:themeColor="text1"/>
          <w:sz w:val="24"/>
          <w:szCs w:val="21"/>
          <w:highlight w:val="none"/>
          <w14:textFill>
            <w14:solidFill>
              <w14:schemeClr w14:val="tx1"/>
            </w14:solidFill>
          </w14:textFill>
        </w:rPr>
      </w:pPr>
      <w:r>
        <w:rPr>
          <w:rFonts w:hint="eastAsia" w:cs="仿宋"/>
          <w:color w:val="000000" w:themeColor="text1"/>
          <w:sz w:val="24"/>
          <w:szCs w:val="21"/>
          <w:highlight w:val="none"/>
          <w14:textFill>
            <w14:solidFill>
              <w14:schemeClr w14:val="tx1"/>
            </w14:solidFill>
          </w14:textFill>
        </w:rPr>
        <w:t>乙方</w:t>
      </w:r>
      <w:r>
        <w:rPr>
          <w:rFonts w:cs="仿宋"/>
          <w:color w:val="000000" w:themeColor="text1"/>
          <w:sz w:val="24"/>
          <w:szCs w:val="21"/>
          <w:highlight w:val="none"/>
          <w14:textFill>
            <w14:solidFill>
              <w14:schemeClr w14:val="tx1"/>
            </w14:solidFill>
          </w14:textFill>
        </w:rPr>
        <w:t>（盖章）：</w:t>
      </w:r>
    </w:p>
    <w:tbl>
      <w:tblPr>
        <w:tblStyle w:val="17"/>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63"/>
        <w:gridCol w:w="5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6" w:type="dxa"/>
            <w:noWrap w:val="0"/>
            <w:vAlign w:val="center"/>
          </w:tcPr>
          <w:p>
            <w:pPr>
              <w:widowControl/>
              <w:spacing w:line="360" w:lineRule="auto"/>
              <w:jc w:val="center"/>
              <w:rPr>
                <w:rFonts w:ascii="宋体" w:hAnsi="宋体" w:cs="仿宋"/>
                <w:b/>
                <w:color w:val="000000" w:themeColor="text1"/>
                <w:kern w:val="0"/>
                <w:szCs w:val="21"/>
                <w:highlight w:val="none"/>
                <w14:textFill>
                  <w14:solidFill>
                    <w14:schemeClr w14:val="tx1"/>
                  </w14:solidFill>
                </w14:textFill>
              </w:rPr>
            </w:pPr>
            <w:r>
              <w:rPr>
                <w:rFonts w:ascii="宋体" w:hAnsi="宋体" w:cs="仿宋"/>
                <w:b/>
                <w:color w:val="000000" w:themeColor="text1"/>
                <w:kern w:val="0"/>
                <w:szCs w:val="21"/>
                <w:highlight w:val="none"/>
                <w14:textFill>
                  <w14:solidFill>
                    <w14:schemeClr w14:val="tx1"/>
                  </w14:solidFill>
                </w14:textFill>
              </w:rPr>
              <w:t>序号</w:t>
            </w:r>
          </w:p>
        </w:tc>
        <w:tc>
          <w:tcPr>
            <w:tcW w:w="1463" w:type="dxa"/>
            <w:noWrap w:val="0"/>
            <w:vAlign w:val="center"/>
          </w:tcPr>
          <w:p>
            <w:pPr>
              <w:widowControl/>
              <w:spacing w:line="360" w:lineRule="auto"/>
              <w:jc w:val="center"/>
              <w:rPr>
                <w:rFonts w:ascii="宋体" w:hAnsi="宋体" w:cs="仿宋"/>
                <w:b/>
                <w:color w:val="000000" w:themeColor="text1"/>
                <w:kern w:val="0"/>
                <w:szCs w:val="21"/>
                <w:highlight w:val="none"/>
                <w14:textFill>
                  <w14:solidFill>
                    <w14:schemeClr w14:val="tx1"/>
                  </w14:solidFill>
                </w14:textFill>
              </w:rPr>
            </w:pPr>
            <w:r>
              <w:rPr>
                <w:rFonts w:ascii="宋体" w:hAnsi="宋体" w:cs="仿宋"/>
                <w:b/>
                <w:color w:val="000000" w:themeColor="text1"/>
                <w:kern w:val="0"/>
                <w:szCs w:val="21"/>
                <w:highlight w:val="none"/>
                <w14:textFill>
                  <w14:solidFill>
                    <w14:schemeClr w14:val="tx1"/>
                  </w14:solidFill>
                </w14:textFill>
              </w:rPr>
              <w:t>服务项目</w:t>
            </w:r>
          </w:p>
        </w:tc>
        <w:tc>
          <w:tcPr>
            <w:tcW w:w="5853" w:type="dxa"/>
            <w:noWrap w:val="0"/>
            <w:vAlign w:val="center"/>
          </w:tcPr>
          <w:p>
            <w:pPr>
              <w:widowControl/>
              <w:spacing w:line="360" w:lineRule="auto"/>
              <w:jc w:val="center"/>
              <w:rPr>
                <w:rFonts w:ascii="宋体" w:hAnsi="宋体" w:cs="仿宋"/>
                <w:b/>
                <w:color w:val="000000" w:themeColor="text1"/>
                <w:kern w:val="0"/>
                <w:szCs w:val="21"/>
                <w:highlight w:val="none"/>
                <w14:textFill>
                  <w14:solidFill>
                    <w14:schemeClr w14:val="tx1"/>
                  </w14:solidFill>
                </w14:textFill>
              </w:rPr>
            </w:pPr>
            <w:r>
              <w:rPr>
                <w:rFonts w:ascii="宋体" w:hAnsi="宋体" w:cs="仿宋"/>
                <w:b/>
                <w:color w:val="000000" w:themeColor="text1"/>
                <w:kern w:val="0"/>
                <w:szCs w:val="21"/>
                <w:highlight w:val="none"/>
                <w14:textFill>
                  <w14:solidFill>
                    <w14:schemeClr w14:val="tx1"/>
                  </w14:solidFill>
                </w14:textFill>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6" w:type="dxa"/>
            <w:noWrap w:val="0"/>
            <w:vAlign w:val="center"/>
          </w:tcPr>
          <w:p>
            <w:pPr>
              <w:widowControl/>
              <w:spacing w:line="360" w:lineRule="auto"/>
              <w:jc w:val="center"/>
              <w:rPr>
                <w:rFonts w:hint="eastAsia" w:ascii="宋体" w:hAnsi="宋体" w:eastAsia="宋体" w:cs="仿宋"/>
                <w:color w:val="000000" w:themeColor="text1"/>
                <w:kern w:val="0"/>
                <w:szCs w:val="21"/>
                <w:highlight w:val="none"/>
                <w:lang w:eastAsia="zh-CN"/>
                <w14:textFill>
                  <w14:solidFill>
                    <w14:schemeClr w14:val="tx1"/>
                  </w14:solidFill>
                </w14:textFill>
              </w:rPr>
            </w:pPr>
            <w:r>
              <w:rPr>
                <w:rFonts w:hint="eastAsia" w:ascii="宋体" w:hAnsi="宋体" w:cs="仿宋"/>
                <w:color w:val="000000" w:themeColor="text1"/>
                <w:kern w:val="0"/>
                <w:szCs w:val="21"/>
                <w:highlight w:val="none"/>
                <w:lang w:val="en-US" w:eastAsia="zh-CN"/>
                <w14:textFill>
                  <w14:solidFill>
                    <w14:schemeClr w14:val="tx1"/>
                  </w14:solidFill>
                </w14:textFill>
              </w:rPr>
              <w:t>1</w:t>
            </w:r>
          </w:p>
        </w:tc>
        <w:tc>
          <w:tcPr>
            <w:tcW w:w="1463" w:type="dxa"/>
            <w:vMerge w:val="restart"/>
            <w:noWrap w:val="0"/>
            <w:vAlign w:val="center"/>
          </w:tcPr>
          <w:p>
            <w:pPr>
              <w:widowControl/>
              <w:spacing w:line="240" w:lineRule="auto"/>
              <w:jc w:val="center"/>
              <w:rPr>
                <w:rFonts w:ascii="宋体" w:hAnsi="宋体" w:cs="仿宋"/>
                <w:color w:val="000000" w:themeColor="text1"/>
                <w:kern w:val="0"/>
                <w:szCs w:val="21"/>
                <w:highlight w:val="none"/>
                <w14:textFill>
                  <w14:solidFill>
                    <w14:schemeClr w14:val="tx1"/>
                  </w14:solidFill>
                </w14:textFill>
              </w:rPr>
            </w:pPr>
            <w:r>
              <w:rPr>
                <w:rFonts w:ascii="宋体" w:hAnsi="宋体" w:cs="仿宋"/>
                <w:color w:val="000000" w:themeColor="text1"/>
                <w:kern w:val="0"/>
                <w:szCs w:val="21"/>
                <w:highlight w:val="none"/>
                <w14:textFill>
                  <w14:solidFill>
                    <w14:schemeClr w14:val="tx1"/>
                  </w14:solidFill>
                </w14:textFill>
              </w:rPr>
              <w:t>甲供水电气材料服务标准（</w:t>
            </w:r>
            <w:r>
              <w:rPr>
                <w:rFonts w:hint="eastAsia" w:ascii="宋体" w:hAnsi="宋体" w:cs="仿宋"/>
                <w:color w:val="000000" w:themeColor="text1"/>
                <w:kern w:val="0"/>
                <w:szCs w:val="21"/>
                <w:highlight w:val="none"/>
                <w14:textFill>
                  <w14:solidFill>
                    <w14:schemeClr w14:val="tx1"/>
                  </w14:solidFill>
                </w14:textFill>
              </w:rPr>
              <w:t>甲方</w:t>
            </w:r>
            <w:r>
              <w:rPr>
                <w:rFonts w:ascii="宋体" w:hAnsi="宋体" w:cs="仿宋"/>
                <w:color w:val="000000" w:themeColor="text1"/>
                <w:kern w:val="0"/>
                <w:szCs w:val="21"/>
                <w:highlight w:val="none"/>
                <w14:textFill>
                  <w14:solidFill>
                    <w14:schemeClr w14:val="tx1"/>
                  </w14:solidFill>
                </w14:textFill>
              </w:rPr>
              <w:t>仓库材料）</w:t>
            </w:r>
          </w:p>
        </w:tc>
        <w:tc>
          <w:tcPr>
            <w:tcW w:w="5853" w:type="dxa"/>
            <w:noWrap w:val="0"/>
            <w:vAlign w:val="center"/>
          </w:tcPr>
          <w:p>
            <w:pPr>
              <w:widowControl/>
              <w:spacing w:line="360" w:lineRule="auto"/>
              <w:ind w:right="420"/>
              <w:jc w:val="center"/>
              <w:rPr>
                <w:rFonts w:ascii="宋体" w:hAnsi="宋体" w:cs="仿宋"/>
                <w:color w:val="000000" w:themeColor="text1"/>
                <w:kern w:val="0"/>
                <w:szCs w:val="21"/>
                <w:highlight w:val="none"/>
                <w14:textFill>
                  <w14:solidFill>
                    <w14:schemeClr w14:val="tx1"/>
                  </w14:solidFill>
                </w14:textFill>
              </w:rPr>
            </w:pPr>
            <w:r>
              <w:rPr>
                <w:rFonts w:ascii="宋体" w:hAnsi="宋体" w:cs="仿宋"/>
                <w:color w:val="000000" w:themeColor="text1"/>
                <w:kern w:val="0"/>
                <w:szCs w:val="21"/>
                <w:highlight w:val="none"/>
                <w14:textFill>
                  <w14:solidFill>
                    <w14:schemeClr w14:val="tx1"/>
                  </w14:solidFill>
                </w14:textFill>
              </w:rPr>
              <w:t>压缩空气供气点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noWrap w:val="0"/>
            <w:vAlign w:val="center"/>
          </w:tcPr>
          <w:p>
            <w:pPr>
              <w:widowControl/>
              <w:spacing w:line="360" w:lineRule="auto"/>
              <w:jc w:val="center"/>
              <w:rPr>
                <w:rFonts w:hint="eastAsia" w:ascii="宋体" w:hAnsi="宋体" w:eastAsia="宋体" w:cs="仿宋"/>
                <w:color w:val="000000" w:themeColor="text1"/>
                <w:kern w:val="0"/>
                <w:szCs w:val="21"/>
                <w:highlight w:val="none"/>
                <w:lang w:eastAsia="zh-CN"/>
                <w14:textFill>
                  <w14:solidFill>
                    <w14:schemeClr w14:val="tx1"/>
                  </w14:solidFill>
                </w14:textFill>
              </w:rPr>
            </w:pPr>
            <w:r>
              <w:rPr>
                <w:rFonts w:hint="eastAsia" w:ascii="宋体" w:hAnsi="宋体" w:cs="仿宋"/>
                <w:color w:val="000000" w:themeColor="text1"/>
                <w:kern w:val="0"/>
                <w:szCs w:val="21"/>
                <w:highlight w:val="none"/>
                <w:lang w:val="en-US" w:eastAsia="zh-CN"/>
                <w14:textFill>
                  <w14:solidFill>
                    <w14:schemeClr w14:val="tx1"/>
                  </w14:solidFill>
                </w14:textFill>
              </w:rPr>
              <w:t>2</w:t>
            </w:r>
          </w:p>
        </w:tc>
        <w:tc>
          <w:tcPr>
            <w:tcW w:w="1463" w:type="dxa"/>
            <w:vMerge w:val="continue"/>
            <w:noWrap w:val="0"/>
            <w:vAlign w:val="center"/>
          </w:tcPr>
          <w:p>
            <w:pPr>
              <w:widowControl/>
              <w:spacing w:line="240" w:lineRule="auto"/>
              <w:jc w:val="left"/>
              <w:rPr>
                <w:rFonts w:ascii="宋体" w:hAnsi="宋体" w:cs="仿宋"/>
                <w:color w:val="000000" w:themeColor="text1"/>
                <w:kern w:val="0"/>
                <w:szCs w:val="21"/>
                <w:highlight w:val="none"/>
                <w14:textFill>
                  <w14:solidFill>
                    <w14:schemeClr w14:val="tx1"/>
                  </w14:solidFill>
                </w14:textFill>
              </w:rPr>
            </w:pPr>
          </w:p>
        </w:tc>
        <w:tc>
          <w:tcPr>
            <w:tcW w:w="5853" w:type="dxa"/>
            <w:noWrap w:val="0"/>
            <w:vAlign w:val="center"/>
          </w:tcPr>
          <w:p>
            <w:pPr>
              <w:widowControl/>
              <w:spacing w:line="360" w:lineRule="auto"/>
              <w:ind w:right="420"/>
              <w:jc w:val="center"/>
              <w:rPr>
                <w:rFonts w:ascii="宋体" w:hAnsi="宋体" w:cs="仿宋"/>
                <w:color w:val="000000" w:themeColor="text1"/>
                <w:kern w:val="0"/>
                <w:szCs w:val="21"/>
                <w:highlight w:val="none"/>
                <w14:textFill>
                  <w14:solidFill>
                    <w14:schemeClr w14:val="tx1"/>
                  </w14:solidFill>
                </w14:textFill>
              </w:rPr>
            </w:pPr>
            <w:r>
              <w:rPr>
                <w:rFonts w:ascii="宋体" w:hAnsi="宋体" w:cs="仿宋"/>
                <w:color w:val="000000" w:themeColor="text1"/>
                <w:kern w:val="0"/>
                <w:szCs w:val="21"/>
                <w:highlight w:val="none"/>
                <w14:textFill>
                  <w14:solidFill>
                    <w14:schemeClr w14:val="tx1"/>
                  </w14:solidFill>
                </w14:textFill>
              </w:rPr>
              <w:t>供水点</w:t>
            </w:r>
            <w:r>
              <w:rPr>
                <w:rFonts w:hint="eastAsia" w:ascii="宋体" w:hAnsi="宋体" w:cs="仿宋"/>
                <w:color w:val="000000" w:themeColor="text1"/>
                <w:kern w:val="0"/>
                <w:szCs w:val="21"/>
                <w:highlight w:val="none"/>
                <w:lang w:eastAsia="zh-CN"/>
                <w14:textFill>
                  <w14:solidFill>
                    <w14:schemeClr w14:val="tx1"/>
                  </w14:solidFill>
                </w14:textFill>
              </w:rPr>
              <w:t>（</w:t>
            </w:r>
            <w:r>
              <w:rPr>
                <w:rFonts w:hint="eastAsia" w:ascii="宋体" w:hAnsi="宋体" w:cs="仿宋"/>
                <w:color w:val="000000" w:themeColor="text1"/>
                <w:kern w:val="0"/>
                <w:szCs w:val="21"/>
                <w:highlight w:val="none"/>
                <w:lang w:val="en-US" w:eastAsia="zh-CN"/>
                <w14:textFill>
                  <w14:solidFill>
                    <w14:schemeClr w14:val="tx1"/>
                  </w14:solidFill>
                </w14:textFill>
              </w:rPr>
              <w:t>含给排水</w:t>
            </w:r>
            <w:r>
              <w:rPr>
                <w:rFonts w:hint="eastAsia" w:ascii="宋体" w:hAnsi="宋体" w:cs="仿宋"/>
                <w:color w:val="000000" w:themeColor="text1"/>
                <w:kern w:val="0"/>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noWrap w:val="0"/>
            <w:vAlign w:val="center"/>
          </w:tcPr>
          <w:p>
            <w:pPr>
              <w:widowControl/>
              <w:spacing w:line="360" w:lineRule="auto"/>
              <w:jc w:val="center"/>
              <w:rPr>
                <w:rFonts w:hint="eastAsia" w:ascii="宋体" w:hAnsi="宋体" w:eastAsia="宋体" w:cs="仿宋"/>
                <w:color w:val="000000" w:themeColor="text1"/>
                <w:kern w:val="0"/>
                <w:szCs w:val="21"/>
                <w:highlight w:val="none"/>
                <w:lang w:eastAsia="zh-CN"/>
                <w14:textFill>
                  <w14:solidFill>
                    <w14:schemeClr w14:val="tx1"/>
                  </w14:solidFill>
                </w14:textFill>
              </w:rPr>
            </w:pPr>
            <w:r>
              <w:rPr>
                <w:rFonts w:hint="eastAsia" w:ascii="宋体" w:hAnsi="宋体" w:cs="仿宋"/>
                <w:color w:val="000000" w:themeColor="text1"/>
                <w:kern w:val="0"/>
                <w:szCs w:val="21"/>
                <w:highlight w:val="none"/>
                <w:lang w:val="en-US" w:eastAsia="zh-CN"/>
                <w14:textFill>
                  <w14:solidFill>
                    <w14:schemeClr w14:val="tx1"/>
                  </w14:solidFill>
                </w14:textFill>
              </w:rPr>
              <w:t>3</w:t>
            </w:r>
          </w:p>
        </w:tc>
        <w:tc>
          <w:tcPr>
            <w:tcW w:w="1463" w:type="dxa"/>
            <w:vMerge w:val="continue"/>
            <w:noWrap w:val="0"/>
            <w:vAlign w:val="center"/>
          </w:tcPr>
          <w:p>
            <w:pPr>
              <w:widowControl/>
              <w:spacing w:line="240" w:lineRule="auto"/>
              <w:jc w:val="left"/>
              <w:rPr>
                <w:rFonts w:ascii="宋体" w:hAnsi="宋体" w:cs="仿宋"/>
                <w:color w:val="000000" w:themeColor="text1"/>
                <w:kern w:val="0"/>
                <w:szCs w:val="21"/>
                <w:highlight w:val="none"/>
                <w14:textFill>
                  <w14:solidFill>
                    <w14:schemeClr w14:val="tx1"/>
                  </w14:solidFill>
                </w14:textFill>
              </w:rPr>
            </w:pPr>
          </w:p>
        </w:tc>
        <w:tc>
          <w:tcPr>
            <w:tcW w:w="5853" w:type="dxa"/>
            <w:noWrap w:val="0"/>
            <w:vAlign w:val="center"/>
          </w:tcPr>
          <w:p>
            <w:pPr>
              <w:widowControl/>
              <w:spacing w:line="360" w:lineRule="auto"/>
              <w:ind w:right="420"/>
              <w:jc w:val="center"/>
              <w:rPr>
                <w:rFonts w:ascii="宋体" w:hAnsi="宋体" w:cs="仿宋"/>
                <w:color w:val="000000" w:themeColor="text1"/>
                <w:kern w:val="0"/>
                <w:szCs w:val="21"/>
                <w:highlight w:val="none"/>
                <w14:textFill>
                  <w14:solidFill>
                    <w14:schemeClr w14:val="tx1"/>
                  </w14:solidFill>
                </w14:textFill>
              </w:rPr>
            </w:pPr>
            <w:r>
              <w:rPr>
                <w:rFonts w:ascii="宋体" w:hAnsi="宋体" w:cs="仿宋"/>
                <w:color w:val="000000" w:themeColor="text1"/>
                <w:kern w:val="0"/>
                <w:szCs w:val="21"/>
                <w:highlight w:val="none"/>
                <w14:textFill>
                  <w14:solidFill>
                    <w14:schemeClr w14:val="tx1"/>
                  </w14:solidFill>
                </w14:textFill>
              </w:rPr>
              <w:t>16A/380V用电点的展位服务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noWrap w:val="0"/>
            <w:vAlign w:val="center"/>
          </w:tcPr>
          <w:p>
            <w:pPr>
              <w:widowControl/>
              <w:spacing w:line="360" w:lineRule="auto"/>
              <w:jc w:val="center"/>
              <w:rPr>
                <w:rFonts w:hint="eastAsia" w:ascii="宋体" w:hAnsi="宋体" w:eastAsia="宋体" w:cs="仿宋"/>
                <w:color w:val="000000" w:themeColor="text1"/>
                <w:kern w:val="0"/>
                <w:szCs w:val="21"/>
                <w:highlight w:val="none"/>
                <w:lang w:eastAsia="zh-CN"/>
                <w14:textFill>
                  <w14:solidFill>
                    <w14:schemeClr w14:val="tx1"/>
                  </w14:solidFill>
                </w14:textFill>
              </w:rPr>
            </w:pPr>
            <w:r>
              <w:rPr>
                <w:rFonts w:hint="eastAsia" w:ascii="宋体" w:hAnsi="宋体" w:cs="仿宋"/>
                <w:color w:val="000000" w:themeColor="text1"/>
                <w:kern w:val="0"/>
                <w:szCs w:val="21"/>
                <w:highlight w:val="none"/>
                <w:lang w:val="en-US" w:eastAsia="zh-CN"/>
                <w14:textFill>
                  <w14:solidFill>
                    <w14:schemeClr w14:val="tx1"/>
                  </w14:solidFill>
                </w14:textFill>
              </w:rPr>
              <w:t>4</w:t>
            </w:r>
          </w:p>
        </w:tc>
        <w:tc>
          <w:tcPr>
            <w:tcW w:w="1463" w:type="dxa"/>
            <w:vMerge w:val="continue"/>
            <w:noWrap w:val="0"/>
            <w:vAlign w:val="center"/>
          </w:tcPr>
          <w:p>
            <w:pPr>
              <w:widowControl/>
              <w:spacing w:line="240" w:lineRule="auto"/>
              <w:jc w:val="left"/>
              <w:rPr>
                <w:rFonts w:ascii="宋体" w:hAnsi="宋体" w:cs="仿宋"/>
                <w:color w:val="000000" w:themeColor="text1"/>
                <w:kern w:val="0"/>
                <w:szCs w:val="21"/>
                <w:highlight w:val="none"/>
                <w14:textFill>
                  <w14:solidFill>
                    <w14:schemeClr w14:val="tx1"/>
                  </w14:solidFill>
                </w14:textFill>
              </w:rPr>
            </w:pPr>
          </w:p>
        </w:tc>
        <w:tc>
          <w:tcPr>
            <w:tcW w:w="5853" w:type="dxa"/>
            <w:noWrap w:val="0"/>
            <w:vAlign w:val="center"/>
          </w:tcPr>
          <w:p>
            <w:pPr>
              <w:widowControl/>
              <w:spacing w:line="360" w:lineRule="auto"/>
              <w:ind w:right="420"/>
              <w:jc w:val="center"/>
              <w:rPr>
                <w:rFonts w:ascii="宋体" w:hAnsi="宋体" w:cs="仿宋"/>
                <w:color w:val="000000" w:themeColor="text1"/>
                <w:kern w:val="0"/>
                <w:szCs w:val="21"/>
                <w:highlight w:val="none"/>
                <w14:textFill>
                  <w14:solidFill>
                    <w14:schemeClr w14:val="tx1"/>
                  </w14:solidFill>
                </w14:textFill>
              </w:rPr>
            </w:pPr>
            <w:r>
              <w:rPr>
                <w:rFonts w:ascii="宋体" w:hAnsi="宋体" w:cs="仿宋"/>
                <w:color w:val="000000" w:themeColor="text1"/>
                <w:kern w:val="0"/>
                <w:szCs w:val="21"/>
                <w:highlight w:val="none"/>
                <w14:textFill>
                  <w14:solidFill>
                    <w14:schemeClr w14:val="tx1"/>
                  </w14:solidFill>
                </w14:textFill>
              </w:rPr>
              <w:t>32A/380V用电点的展位服务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noWrap w:val="0"/>
            <w:vAlign w:val="center"/>
          </w:tcPr>
          <w:p>
            <w:pPr>
              <w:widowControl/>
              <w:spacing w:line="360" w:lineRule="auto"/>
              <w:jc w:val="center"/>
              <w:rPr>
                <w:rFonts w:hint="eastAsia" w:ascii="宋体" w:hAnsi="宋体" w:eastAsia="宋体" w:cs="仿宋"/>
                <w:color w:val="000000" w:themeColor="text1"/>
                <w:kern w:val="0"/>
                <w:szCs w:val="21"/>
                <w:highlight w:val="none"/>
                <w:lang w:eastAsia="zh-CN"/>
                <w14:textFill>
                  <w14:solidFill>
                    <w14:schemeClr w14:val="tx1"/>
                  </w14:solidFill>
                </w14:textFill>
              </w:rPr>
            </w:pPr>
            <w:r>
              <w:rPr>
                <w:rFonts w:hint="eastAsia" w:ascii="宋体" w:hAnsi="宋体" w:cs="仿宋"/>
                <w:color w:val="000000" w:themeColor="text1"/>
                <w:kern w:val="0"/>
                <w:szCs w:val="21"/>
                <w:highlight w:val="none"/>
                <w:lang w:val="en-US" w:eastAsia="zh-CN"/>
                <w14:textFill>
                  <w14:solidFill>
                    <w14:schemeClr w14:val="tx1"/>
                  </w14:solidFill>
                </w14:textFill>
              </w:rPr>
              <w:t>5</w:t>
            </w:r>
          </w:p>
        </w:tc>
        <w:tc>
          <w:tcPr>
            <w:tcW w:w="1463" w:type="dxa"/>
            <w:vMerge w:val="continue"/>
            <w:noWrap w:val="0"/>
            <w:vAlign w:val="center"/>
          </w:tcPr>
          <w:p>
            <w:pPr>
              <w:widowControl/>
              <w:spacing w:line="240" w:lineRule="auto"/>
              <w:jc w:val="left"/>
              <w:rPr>
                <w:rFonts w:ascii="宋体" w:hAnsi="宋体" w:cs="仿宋"/>
                <w:color w:val="000000" w:themeColor="text1"/>
                <w:kern w:val="0"/>
                <w:szCs w:val="21"/>
                <w:highlight w:val="none"/>
                <w14:textFill>
                  <w14:solidFill>
                    <w14:schemeClr w14:val="tx1"/>
                  </w14:solidFill>
                </w14:textFill>
              </w:rPr>
            </w:pPr>
          </w:p>
        </w:tc>
        <w:tc>
          <w:tcPr>
            <w:tcW w:w="5853" w:type="dxa"/>
            <w:noWrap w:val="0"/>
            <w:vAlign w:val="center"/>
          </w:tcPr>
          <w:p>
            <w:pPr>
              <w:widowControl/>
              <w:spacing w:line="360" w:lineRule="auto"/>
              <w:ind w:right="420"/>
              <w:jc w:val="center"/>
              <w:rPr>
                <w:rFonts w:ascii="宋体" w:hAnsi="宋体" w:cs="仿宋"/>
                <w:color w:val="000000" w:themeColor="text1"/>
                <w:kern w:val="0"/>
                <w:szCs w:val="21"/>
                <w:highlight w:val="none"/>
                <w14:textFill>
                  <w14:solidFill>
                    <w14:schemeClr w14:val="tx1"/>
                  </w14:solidFill>
                </w14:textFill>
              </w:rPr>
            </w:pPr>
            <w:r>
              <w:rPr>
                <w:rFonts w:ascii="宋体" w:hAnsi="宋体" w:cs="仿宋"/>
                <w:color w:val="000000" w:themeColor="text1"/>
                <w:kern w:val="0"/>
                <w:szCs w:val="21"/>
                <w:highlight w:val="none"/>
                <w14:textFill>
                  <w14:solidFill>
                    <w14:schemeClr w14:val="tx1"/>
                  </w14:solidFill>
                </w14:textFill>
              </w:rPr>
              <w:t>64A/380V用电点的展位服务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noWrap w:val="0"/>
            <w:vAlign w:val="center"/>
          </w:tcPr>
          <w:p>
            <w:pPr>
              <w:widowControl/>
              <w:spacing w:line="360" w:lineRule="auto"/>
              <w:jc w:val="center"/>
              <w:rPr>
                <w:rFonts w:hint="eastAsia" w:ascii="宋体" w:hAnsi="宋体" w:eastAsia="宋体" w:cs="仿宋"/>
                <w:color w:val="000000" w:themeColor="text1"/>
                <w:kern w:val="0"/>
                <w:szCs w:val="21"/>
                <w:highlight w:val="none"/>
                <w:lang w:eastAsia="zh-CN"/>
                <w14:textFill>
                  <w14:solidFill>
                    <w14:schemeClr w14:val="tx1"/>
                  </w14:solidFill>
                </w14:textFill>
              </w:rPr>
            </w:pPr>
            <w:r>
              <w:rPr>
                <w:rFonts w:hint="eastAsia" w:ascii="宋体" w:hAnsi="宋体" w:cs="仿宋"/>
                <w:color w:val="000000" w:themeColor="text1"/>
                <w:kern w:val="0"/>
                <w:szCs w:val="21"/>
                <w:highlight w:val="none"/>
                <w:lang w:val="en-US" w:eastAsia="zh-CN"/>
                <w14:textFill>
                  <w14:solidFill>
                    <w14:schemeClr w14:val="tx1"/>
                  </w14:solidFill>
                </w14:textFill>
              </w:rPr>
              <w:t>6</w:t>
            </w:r>
          </w:p>
        </w:tc>
        <w:tc>
          <w:tcPr>
            <w:tcW w:w="1463" w:type="dxa"/>
            <w:vMerge w:val="continue"/>
            <w:noWrap w:val="0"/>
            <w:vAlign w:val="center"/>
          </w:tcPr>
          <w:p>
            <w:pPr>
              <w:widowControl/>
              <w:spacing w:line="240" w:lineRule="auto"/>
              <w:jc w:val="left"/>
              <w:rPr>
                <w:rFonts w:ascii="宋体" w:hAnsi="宋体" w:cs="仿宋"/>
                <w:color w:val="000000" w:themeColor="text1"/>
                <w:kern w:val="0"/>
                <w:szCs w:val="21"/>
                <w:highlight w:val="none"/>
                <w14:textFill>
                  <w14:solidFill>
                    <w14:schemeClr w14:val="tx1"/>
                  </w14:solidFill>
                </w14:textFill>
              </w:rPr>
            </w:pPr>
          </w:p>
        </w:tc>
        <w:tc>
          <w:tcPr>
            <w:tcW w:w="5853" w:type="dxa"/>
            <w:noWrap w:val="0"/>
            <w:vAlign w:val="center"/>
          </w:tcPr>
          <w:p>
            <w:pPr>
              <w:widowControl/>
              <w:spacing w:line="360" w:lineRule="auto"/>
              <w:ind w:right="420"/>
              <w:jc w:val="center"/>
              <w:rPr>
                <w:rFonts w:ascii="宋体" w:hAnsi="宋体" w:cs="仿宋"/>
                <w:color w:val="000000" w:themeColor="text1"/>
                <w:kern w:val="0"/>
                <w:szCs w:val="21"/>
                <w:highlight w:val="none"/>
                <w14:textFill>
                  <w14:solidFill>
                    <w14:schemeClr w14:val="tx1"/>
                  </w14:solidFill>
                </w14:textFill>
              </w:rPr>
            </w:pPr>
            <w:r>
              <w:rPr>
                <w:rFonts w:ascii="宋体" w:hAnsi="宋体" w:cs="仿宋"/>
                <w:color w:val="000000" w:themeColor="text1"/>
                <w:kern w:val="0"/>
                <w:szCs w:val="21"/>
                <w:highlight w:val="none"/>
                <w14:textFill>
                  <w14:solidFill>
                    <w14:schemeClr w14:val="tx1"/>
                  </w14:solidFill>
                </w14:textFill>
              </w:rPr>
              <w:t>125A/380V用电点的展位服务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noWrap w:val="0"/>
            <w:vAlign w:val="center"/>
          </w:tcPr>
          <w:p>
            <w:pPr>
              <w:widowControl/>
              <w:spacing w:line="360" w:lineRule="auto"/>
              <w:jc w:val="center"/>
              <w:rPr>
                <w:rFonts w:hint="eastAsia" w:ascii="宋体" w:hAnsi="宋体" w:eastAsia="宋体" w:cs="仿宋"/>
                <w:color w:val="000000" w:themeColor="text1"/>
                <w:kern w:val="0"/>
                <w:szCs w:val="21"/>
                <w:highlight w:val="none"/>
                <w:lang w:eastAsia="zh-CN"/>
                <w14:textFill>
                  <w14:solidFill>
                    <w14:schemeClr w14:val="tx1"/>
                  </w14:solidFill>
                </w14:textFill>
              </w:rPr>
            </w:pPr>
            <w:r>
              <w:rPr>
                <w:rFonts w:hint="eastAsia" w:ascii="宋体" w:hAnsi="宋体" w:cs="仿宋"/>
                <w:color w:val="000000" w:themeColor="text1"/>
                <w:kern w:val="0"/>
                <w:szCs w:val="21"/>
                <w:highlight w:val="none"/>
                <w:shd w:val="clear"/>
                <w:lang w:val="en-US" w:eastAsia="zh-CN"/>
                <w14:textFill>
                  <w14:solidFill>
                    <w14:schemeClr w14:val="tx1"/>
                  </w14:solidFill>
                </w14:textFill>
              </w:rPr>
              <w:t>7</w:t>
            </w:r>
          </w:p>
        </w:tc>
        <w:tc>
          <w:tcPr>
            <w:tcW w:w="1463" w:type="dxa"/>
            <w:vMerge w:val="continue"/>
            <w:noWrap w:val="0"/>
            <w:vAlign w:val="center"/>
          </w:tcPr>
          <w:p>
            <w:pPr>
              <w:widowControl/>
              <w:spacing w:line="240" w:lineRule="auto"/>
              <w:jc w:val="left"/>
              <w:rPr>
                <w:rFonts w:ascii="宋体" w:hAnsi="宋体" w:cs="仿宋"/>
                <w:color w:val="000000" w:themeColor="text1"/>
                <w:kern w:val="0"/>
                <w:szCs w:val="21"/>
                <w:highlight w:val="none"/>
                <w14:textFill>
                  <w14:solidFill>
                    <w14:schemeClr w14:val="tx1"/>
                  </w14:solidFill>
                </w14:textFill>
              </w:rPr>
            </w:pPr>
          </w:p>
        </w:tc>
        <w:tc>
          <w:tcPr>
            <w:tcW w:w="5853" w:type="dxa"/>
            <w:noWrap w:val="0"/>
            <w:vAlign w:val="center"/>
          </w:tcPr>
          <w:p>
            <w:pPr>
              <w:widowControl/>
              <w:spacing w:line="360" w:lineRule="auto"/>
              <w:ind w:right="420"/>
              <w:jc w:val="center"/>
              <w:rPr>
                <w:rFonts w:ascii="宋体" w:hAnsi="宋体" w:cs="仿宋"/>
                <w:color w:val="000000" w:themeColor="text1"/>
                <w:kern w:val="0"/>
                <w:szCs w:val="21"/>
                <w:highlight w:val="none"/>
                <w14:textFill>
                  <w14:solidFill>
                    <w14:schemeClr w14:val="tx1"/>
                  </w14:solidFill>
                </w14:textFill>
              </w:rPr>
            </w:pPr>
            <w:r>
              <w:rPr>
                <w:rFonts w:ascii="宋体" w:hAnsi="宋体" w:cs="仿宋"/>
                <w:color w:val="000000" w:themeColor="text1"/>
                <w:kern w:val="0"/>
                <w:szCs w:val="21"/>
                <w:highlight w:val="none"/>
                <w14:textFill>
                  <w14:solidFill>
                    <w14:schemeClr w14:val="tx1"/>
                  </w14:solidFill>
                </w14:textFill>
              </w:rPr>
              <w:t>200A/380V用电点的展位服务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309" w:type="dxa"/>
            <w:gridSpan w:val="2"/>
            <w:noWrap w:val="0"/>
            <w:vAlign w:val="center"/>
          </w:tcPr>
          <w:p>
            <w:pPr>
              <w:widowControl/>
              <w:spacing w:line="360" w:lineRule="auto"/>
              <w:jc w:val="center"/>
              <w:rPr>
                <w:rFonts w:ascii="宋体" w:hAnsi="宋体" w:cs="仿宋"/>
                <w:color w:val="000000" w:themeColor="text1"/>
                <w:kern w:val="0"/>
                <w:szCs w:val="21"/>
                <w:highlight w:val="none"/>
                <w14:textFill>
                  <w14:solidFill>
                    <w14:schemeClr w14:val="tx1"/>
                  </w14:solidFill>
                </w14:textFill>
              </w:rPr>
            </w:pPr>
            <w:r>
              <w:rPr>
                <w:rFonts w:hint="eastAsia" w:ascii="宋体" w:hAnsi="宋体" w:cs="仿宋"/>
                <w:color w:val="000000" w:themeColor="text1"/>
                <w:kern w:val="0"/>
                <w:szCs w:val="21"/>
                <w:highlight w:val="none"/>
                <w14:textFill>
                  <w14:solidFill>
                    <w14:schemeClr w14:val="tx1"/>
                  </w14:solidFill>
                </w14:textFill>
              </w:rPr>
              <w:t>预算总</w:t>
            </w:r>
            <w:r>
              <w:rPr>
                <w:rFonts w:ascii="宋体" w:hAnsi="宋体" w:cs="仿宋"/>
                <w:color w:val="000000" w:themeColor="text1"/>
                <w:kern w:val="0"/>
                <w:szCs w:val="21"/>
                <w:highlight w:val="none"/>
                <w14:textFill>
                  <w14:solidFill>
                    <w14:schemeClr w14:val="tx1"/>
                  </w14:solidFill>
                </w14:textFill>
              </w:rPr>
              <w:t>额</w:t>
            </w:r>
          </w:p>
        </w:tc>
        <w:tc>
          <w:tcPr>
            <w:tcW w:w="5853" w:type="dxa"/>
            <w:noWrap w:val="0"/>
            <w:vAlign w:val="center"/>
          </w:tcPr>
          <w:p>
            <w:pPr>
              <w:widowControl/>
              <w:spacing w:line="360" w:lineRule="auto"/>
              <w:jc w:val="center"/>
              <w:rPr>
                <w:rFonts w:ascii="宋体" w:hAnsi="宋体" w:cs="仿宋"/>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309" w:type="dxa"/>
            <w:gridSpan w:val="2"/>
            <w:noWrap w:val="0"/>
            <w:vAlign w:val="center"/>
          </w:tcPr>
          <w:p>
            <w:pPr>
              <w:widowControl/>
              <w:spacing w:line="360" w:lineRule="auto"/>
              <w:jc w:val="center"/>
              <w:rPr>
                <w:rFonts w:ascii="宋体" w:hAnsi="宋体" w:cs="仿宋"/>
                <w:color w:val="000000" w:themeColor="text1"/>
                <w:kern w:val="0"/>
                <w:szCs w:val="21"/>
                <w:highlight w:val="none"/>
                <w14:textFill>
                  <w14:solidFill>
                    <w14:schemeClr w14:val="tx1"/>
                  </w14:solidFill>
                </w14:textFill>
              </w:rPr>
            </w:pPr>
            <w:r>
              <w:rPr>
                <w:rFonts w:ascii="宋体" w:hAnsi="宋体" w:cs="仿宋"/>
                <w:color w:val="000000" w:themeColor="text1"/>
                <w:kern w:val="0"/>
                <w:szCs w:val="21"/>
                <w:highlight w:val="none"/>
                <w14:textFill>
                  <w14:solidFill>
                    <w14:schemeClr w14:val="tx1"/>
                  </w14:solidFill>
                </w14:textFill>
              </w:rPr>
              <w:t>结算金额：</w:t>
            </w:r>
          </w:p>
        </w:tc>
        <w:tc>
          <w:tcPr>
            <w:tcW w:w="5853" w:type="dxa"/>
            <w:noWrap w:val="0"/>
            <w:vAlign w:val="center"/>
          </w:tcPr>
          <w:p>
            <w:pPr>
              <w:widowControl/>
              <w:spacing w:line="360" w:lineRule="auto"/>
              <w:jc w:val="left"/>
              <w:rPr>
                <w:rFonts w:ascii="宋体" w:hAnsi="宋体" w:cs="仿宋"/>
                <w:i/>
                <w:color w:val="000000" w:themeColor="text1"/>
                <w:kern w:val="0"/>
                <w:szCs w:val="21"/>
                <w:highlight w:val="none"/>
                <w14:textFill>
                  <w14:solidFill>
                    <w14:schemeClr w14:val="tx1"/>
                  </w14:solidFill>
                </w14:textFill>
              </w:rPr>
            </w:pPr>
            <w:r>
              <w:rPr>
                <w:rFonts w:ascii="宋体" w:hAnsi="宋体" w:cs="仿宋"/>
                <w:bCs/>
                <w:i/>
                <w:color w:val="000000" w:themeColor="text1"/>
                <w:sz w:val="22"/>
                <w:highlight w:val="none"/>
                <w14:textFill>
                  <w14:solidFill>
                    <w14:schemeClr w14:val="tx1"/>
                  </w14:solidFill>
                </w14:textFill>
              </w:rPr>
              <w:t>（=</w:t>
            </w:r>
            <w:r>
              <w:rPr>
                <w:rFonts w:hint="eastAsia" w:ascii="宋体" w:hAnsi="宋体" w:cs="仿宋"/>
                <w:bCs/>
                <w:i/>
                <w:color w:val="000000" w:themeColor="text1"/>
                <w:sz w:val="22"/>
                <w:highlight w:val="none"/>
                <w:lang w:val="en-US" w:eastAsia="zh-CN"/>
                <w14:textFill>
                  <w14:solidFill>
                    <w14:schemeClr w14:val="tx1"/>
                  </w14:solidFill>
                </w14:textFill>
              </w:rPr>
              <w:t>合同价</w:t>
            </w:r>
            <w:r>
              <w:rPr>
                <w:rFonts w:ascii="宋体" w:hAnsi="宋体" w:cs="仿宋"/>
                <w:bCs/>
                <w:i/>
                <w:color w:val="000000" w:themeColor="text1"/>
                <w:sz w:val="22"/>
                <w:highlight w:val="none"/>
                <w14:textFill>
                  <w14:solidFill>
                    <w14:schemeClr w14:val="tx1"/>
                  </w14:solidFill>
                </w14:textFill>
              </w:rPr>
              <w:t>×</w:t>
            </w:r>
            <w:r>
              <w:rPr>
                <w:rFonts w:hint="eastAsia" w:ascii="宋体" w:hAnsi="宋体" w:cs="仿宋"/>
                <w:bCs/>
                <w:i/>
                <w:color w:val="000000" w:themeColor="text1"/>
                <w:sz w:val="22"/>
                <w:highlight w:val="none"/>
                <w:lang w:val="en-US" w:eastAsia="zh-CN"/>
                <w14:textFill>
                  <w14:solidFill>
                    <w14:schemeClr w14:val="tx1"/>
                  </w14:solidFill>
                </w14:textFill>
              </w:rPr>
              <w:t>实际执行业务率</w:t>
            </w:r>
            <w:r>
              <w:rPr>
                <w:rFonts w:ascii="宋体" w:hAnsi="宋体" w:cs="仿宋"/>
                <w:bCs/>
                <w:i/>
                <w:color w:val="000000" w:themeColor="text1"/>
                <w:sz w:val="22"/>
                <w:highlight w:val="none"/>
                <w14:textFill>
                  <w14:solidFill>
                    <w14:schemeClr w14:val="tx1"/>
                  </w14:solidFill>
                </w14:textFill>
              </w:rPr>
              <w:t>-扣罚金额）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309" w:type="dxa"/>
            <w:gridSpan w:val="2"/>
            <w:noWrap w:val="0"/>
            <w:vAlign w:val="center"/>
          </w:tcPr>
          <w:p>
            <w:pPr>
              <w:widowControl/>
              <w:spacing w:line="360" w:lineRule="auto"/>
              <w:jc w:val="right"/>
              <w:rPr>
                <w:rFonts w:ascii="宋体" w:hAnsi="宋体" w:cs="仿宋"/>
                <w:color w:val="000000" w:themeColor="text1"/>
                <w:kern w:val="0"/>
                <w:szCs w:val="21"/>
                <w:highlight w:val="none"/>
                <w14:textFill>
                  <w14:solidFill>
                    <w14:schemeClr w14:val="tx1"/>
                  </w14:solidFill>
                </w14:textFill>
              </w:rPr>
            </w:pPr>
            <w:r>
              <w:rPr>
                <w:rFonts w:hint="eastAsia" w:ascii="宋体" w:hAnsi="宋体" w:cs="仿宋"/>
                <w:color w:val="000000" w:themeColor="text1"/>
                <w:kern w:val="0"/>
                <w:szCs w:val="21"/>
                <w:highlight w:val="none"/>
                <w14:textFill>
                  <w14:solidFill>
                    <w14:schemeClr w14:val="tx1"/>
                  </w14:solidFill>
                </w14:textFill>
              </w:rPr>
              <w:t>乙方</w:t>
            </w:r>
            <w:r>
              <w:rPr>
                <w:rFonts w:ascii="宋体" w:hAnsi="宋体" w:cs="仿宋"/>
                <w:color w:val="000000" w:themeColor="text1"/>
                <w:kern w:val="0"/>
                <w:szCs w:val="21"/>
                <w:highlight w:val="none"/>
                <w14:textFill>
                  <w14:solidFill>
                    <w14:schemeClr w14:val="tx1"/>
                  </w14:solidFill>
                </w14:textFill>
              </w:rPr>
              <w:t>负责人签字：</w:t>
            </w:r>
          </w:p>
        </w:tc>
        <w:tc>
          <w:tcPr>
            <w:tcW w:w="5853" w:type="dxa"/>
            <w:noWrap/>
            <w:vAlign w:val="center"/>
          </w:tcPr>
          <w:p>
            <w:pPr>
              <w:widowControl/>
              <w:spacing w:line="360" w:lineRule="auto"/>
              <w:jc w:val="center"/>
              <w:rPr>
                <w:rFonts w:ascii="宋体" w:hAnsi="宋体" w:cs="仿宋"/>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309" w:type="dxa"/>
            <w:gridSpan w:val="2"/>
            <w:noWrap w:val="0"/>
            <w:vAlign w:val="center"/>
          </w:tcPr>
          <w:p>
            <w:pPr>
              <w:widowControl/>
              <w:spacing w:line="360" w:lineRule="auto"/>
              <w:jc w:val="left"/>
              <w:rPr>
                <w:rFonts w:ascii="宋体" w:hAnsi="宋体" w:cs="仿宋"/>
                <w:color w:val="000000" w:themeColor="text1"/>
                <w:kern w:val="0"/>
                <w:szCs w:val="21"/>
                <w:highlight w:val="none"/>
                <w14:textFill>
                  <w14:solidFill>
                    <w14:schemeClr w14:val="tx1"/>
                  </w14:solidFill>
                </w14:textFill>
              </w:rPr>
            </w:pPr>
            <w:r>
              <w:rPr>
                <w:rFonts w:hint="eastAsia" w:ascii="宋体" w:hAnsi="宋体" w:cs="仿宋"/>
                <w:color w:val="000000" w:themeColor="text1"/>
                <w:kern w:val="0"/>
                <w:szCs w:val="21"/>
                <w:highlight w:val="none"/>
                <w:lang w:eastAsia="zh-CN"/>
                <w14:textFill>
                  <w14:solidFill>
                    <w14:schemeClr w14:val="tx1"/>
                  </w14:solidFill>
                </w14:textFill>
              </w:rPr>
              <w:t>工程安全部总经理</w:t>
            </w:r>
            <w:r>
              <w:rPr>
                <w:rFonts w:ascii="宋体" w:hAnsi="宋体" w:cs="仿宋"/>
                <w:color w:val="000000" w:themeColor="text1"/>
                <w:kern w:val="0"/>
                <w:szCs w:val="21"/>
                <w:highlight w:val="none"/>
                <w14:textFill>
                  <w14:solidFill>
                    <w14:schemeClr w14:val="tx1"/>
                  </w14:solidFill>
                </w14:textFill>
              </w:rPr>
              <w:t>审核：</w:t>
            </w:r>
          </w:p>
        </w:tc>
        <w:tc>
          <w:tcPr>
            <w:tcW w:w="5853" w:type="dxa"/>
            <w:noWrap/>
            <w:vAlign w:val="center"/>
          </w:tcPr>
          <w:p>
            <w:pPr>
              <w:widowControl/>
              <w:spacing w:line="360" w:lineRule="auto"/>
              <w:jc w:val="center"/>
              <w:rPr>
                <w:rFonts w:ascii="宋体" w:hAnsi="宋体" w:cs="仿宋"/>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309" w:type="dxa"/>
            <w:gridSpan w:val="2"/>
            <w:noWrap w:val="0"/>
            <w:vAlign w:val="center"/>
          </w:tcPr>
          <w:p>
            <w:pPr>
              <w:widowControl/>
              <w:spacing w:line="360" w:lineRule="auto"/>
              <w:jc w:val="right"/>
              <w:rPr>
                <w:rFonts w:ascii="宋体" w:hAnsi="宋体" w:cs="仿宋"/>
                <w:color w:val="000000" w:themeColor="text1"/>
                <w:kern w:val="0"/>
                <w:szCs w:val="21"/>
                <w:highlight w:val="none"/>
                <w14:textFill>
                  <w14:solidFill>
                    <w14:schemeClr w14:val="tx1"/>
                  </w14:solidFill>
                </w14:textFill>
              </w:rPr>
            </w:pPr>
            <w:r>
              <w:rPr>
                <w:rFonts w:hint="eastAsia" w:ascii="宋体" w:hAnsi="宋体" w:cs="仿宋"/>
                <w:color w:val="000000" w:themeColor="text1"/>
                <w:kern w:val="0"/>
                <w:szCs w:val="21"/>
                <w:highlight w:val="none"/>
                <w:lang w:eastAsia="zh-CN"/>
                <w14:textFill>
                  <w14:solidFill>
                    <w14:schemeClr w14:val="tx1"/>
                  </w14:solidFill>
                </w14:textFill>
              </w:rPr>
              <w:t>分管领导</w:t>
            </w:r>
            <w:r>
              <w:rPr>
                <w:rFonts w:ascii="宋体" w:hAnsi="宋体" w:cs="仿宋"/>
                <w:color w:val="000000" w:themeColor="text1"/>
                <w:kern w:val="0"/>
                <w:szCs w:val="21"/>
                <w:highlight w:val="none"/>
                <w14:textFill>
                  <w14:solidFill>
                    <w14:schemeClr w14:val="tx1"/>
                  </w14:solidFill>
                </w14:textFill>
              </w:rPr>
              <w:t>审核：</w:t>
            </w:r>
          </w:p>
        </w:tc>
        <w:tc>
          <w:tcPr>
            <w:tcW w:w="5853" w:type="dxa"/>
            <w:noWrap/>
            <w:vAlign w:val="center"/>
          </w:tcPr>
          <w:p>
            <w:pPr>
              <w:widowControl/>
              <w:spacing w:line="360" w:lineRule="auto"/>
              <w:jc w:val="center"/>
              <w:rPr>
                <w:rFonts w:ascii="宋体" w:hAnsi="宋体" w:cs="仿宋"/>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309" w:type="dxa"/>
            <w:gridSpan w:val="2"/>
            <w:noWrap w:val="0"/>
            <w:vAlign w:val="center"/>
          </w:tcPr>
          <w:p>
            <w:pPr>
              <w:widowControl/>
              <w:spacing w:line="360" w:lineRule="auto"/>
              <w:jc w:val="center"/>
              <w:rPr>
                <w:rFonts w:hint="default" w:ascii="宋体" w:hAnsi="宋体" w:cs="仿宋"/>
                <w:color w:val="000000" w:themeColor="text1"/>
                <w:kern w:val="0"/>
                <w:szCs w:val="21"/>
                <w:highlight w:val="none"/>
                <w:lang w:val="en-US" w:eastAsia="zh-CN"/>
                <w14:textFill>
                  <w14:solidFill>
                    <w14:schemeClr w14:val="tx1"/>
                  </w14:solidFill>
                </w14:textFill>
              </w:rPr>
            </w:pPr>
            <w:r>
              <w:rPr>
                <w:rFonts w:hint="eastAsia" w:ascii="宋体" w:hAnsi="宋体" w:cs="仿宋"/>
                <w:color w:val="000000" w:themeColor="text1"/>
                <w:kern w:val="0"/>
                <w:szCs w:val="21"/>
                <w:highlight w:val="none"/>
                <w:lang w:val="en-US" w:eastAsia="zh-CN"/>
                <w14:textFill>
                  <w14:solidFill>
                    <w14:schemeClr w14:val="tx1"/>
                  </w14:solidFill>
                </w14:textFill>
              </w:rPr>
              <w:t>说明</w:t>
            </w:r>
          </w:p>
        </w:tc>
        <w:tc>
          <w:tcPr>
            <w:tcW w:w="5853" w:type="dxa"/>
            <w:noWrap/>
            <w:vAlign w:val="center"/>
          </w:tcPr>
          <w:p>
            <w:pPr>
              <w:widowControl/>
              <w:numPr>
                <w:ilvl w:val="-1"/>
                <w:numId w:val="0"/>
              </w:numPr>
              <w:spacing w:line="360" w:lineRule="auto"/>
              <w:jc w:val="left"/>
              <w:rPr>
                <w:rFonts w:hint="eastAsia" w:ascii="宋体" w:hAnsi="宋体" w:cs="仿宋"/>
                <w:color w:val="000000" w:themeColor="text1"/>
                <w:kern w:val="0"/>
                <w:sz w:val="24"/>
                <w:szCs w:val="24"/>
                <w:highlight w:val="none"/>
                <w:lang w:val="en-US" w:eastAsia="zh-CN"/>
                <w14:textFill>
                  <w14:solidFill>
                    <w14:schemeClr w14:val="tx1"/>
                  </w14:solidFill>
                </w14:textFill>
              </w:rPr>
            </w:pPr>
            <w:r>
              <w:rPr>
                <w:rFonts w:hint="eastAsia" w:ascii="宋体" w:hAnsi="宋体" w:eastAsia="宋体" w:cs="仿宋"/>
                <w:color w:val="000000" w:themeColor="text1"/>
                <w:kern w:val="0"/>
                <w:sz w:val="24"/>
                <w:szCs w:val="24"/>
                <w:highlight w:val="none"/>
                <w:lang w:val="en-US" w:eastAsia="zh-CN" w:bidi="ar-SA"/>
                <w14:textFill>
                  <w14:solidFill>
                    <w14:schemeClr w14:val="tx1"/>
                  </w14:solidFill>
                </w14:textFill>
              </w:rPr>
              <w:t>1、</w:t>
            </w:r>
            <w:r>
              <w:rPr>
                <w:rFonts w:hint="eastAsia" w:ascii="宋体" w:hAnsi="宋体" w:cs="仿宋"/>
                <w:color w:val="000000" w:themeColor="text1"/>
                <w:kern w:val="0"/>
                <w:sz w:val="24"/>
                <w:szCs w:val="24"/>
                <w:highlight w:val="none"/>
                <w:lang w:val="en-US" w:eastAsia="zh-CN"/>
                <w14:textFill>
                  <w14:solidFill>
                    <w14:schemeClr w14:val="tx1"/>
                  </w14:solidFill>
                </w14:textFill>
              </w:rPr>
              <w:t>以上报价含税（ 6%的服务类增值税专用发票）；</w:t>
            </w:r>
          </w:p>
          <w:p>
            <w:pPr>
              <w:widowControl/>
              <w:numPr>
                <w:ilvl w:val="-1"/>
                <w:numId w:val="0"/>
              </w:numPr>
              <w:spacing w:line="360" w:lineRule="auto"/>
              <w:jc w:val="left"/>
              <w:rPr>
                <w:rFonts w:hint="default" w:ascii="宋体" w:hAnsi="宋体" w:cs="仿宋"/>
                <w:color w:val="000000" w:themeColor="text1"/>
                <w:kern w:val="0"/>
                <w:sz w:val="24"/>
                <w:szCs w:val="24"/>
                <w:highlight w:val="none"/>
                <w:lang w:val="en-US" w:eastAsia="zh-CN"/>
                <w14:textFill>
                  <w14:solidFill>
                    <w14:schemeClr w14:val="tx1"/>
                  </w14:solidFill>
                </w14:textFill>
              </w:rPr>
            </w:pPr>
            <w:r>
              <w:rPr>
                <w:rFonts w:hint="default" w:ascii="宋体" w:hAnsi="宋体" w:eastAsia="宋体" w:cs="仿宋"/>
                <w:color w:val="000000" w:themeColor="text1"/>
                <w:kern w:val="0"/>
                <w:sz w:val="24"/>
                <w:szCs w:val="24"/>
                <w:highlight w:val="none"/>
                <w:lang w:val="en-US" w:eastAsia="zh-CN" w:bidi="ar-SA"/>
                <w14:textFill>
                  <w14:solidFill>
                    <w14:schemeClr w14:val="tx1"/>
                  </w14:solidFill>
                </w14:textFill>
              </w:rPr>
              <w:t>2、</w:t>
            </w:r>
            <w:r>
              <w:rPr>
                <w:rFonts w:hint="eastAsia" w:ascii="宋体" w:hAnsi="宋体" w:cs="仿宋"/>
                <w:color w:val="000000" w:themeColor="text1"/>
                <w:kern w:val="0"/>
                <w:sz w:val="24"/>
                <w:szCs w:val="24"/>
                <w:highlight w:val="none"/>
                <w:lang w:val="en-US" w:eastAsia="zh-CN"/>
                <w14:textFill>
                  <w14:solidFill>
                    <w14:schemeClr w14:val="tx1"/>
                  </w14:solidFill>
                </w14:textFill>
              </w:rPr>
              <w:t>水电气主要物料</w:t>
            </w:r>
            <w:r>
              <w:rPr>
                <w:rFonts w:hint="eastAsia" w:ascii="宋体" w:hAnsi="宋体" w:eastAsia="宋体" w:cs="仿宋"/>
                <w:color w:val="000000" w:themeColor="text1"/>
                <w:kern w:val="0"/>
                <w:sz w:val="24"/>
                <w:szCs w:val="24"/>
                <w:highlight w:val="none"/>
                <w:lang w:val="en-US" w:eastAsia="zh-CN"/>
                <w14:textFill>
                  <w14:solidFill>
                    <w14:schemeClr w14:val="tx1"/>
                  </w14:solidFill>
                </w14:textFill>
              </w:rPr>
              <w:t>（以上规格材料</w:t>
            </w:r>
            <w:r>
              <w:rPr>
                <w:rFonts w:hint="eastAsia" w:ascii="宋体" w:hAnsi="宋体" w:cs="仿宋"/>
                <w:color w:val="000000" w:themeColor="text1"/>
                <w:kern w:val="0"/>
                <w:sz w:val="24"/>
                <w:szCs w:val="24"/>
                <w:highlight w:val="none"/>
                <w:lang w:val="en-US" w:eastAsia="zh-CN"/>
                <w14:textFill>
                  <w14:solidFill>
                    <w14:schemeClr w14:val="tx1"/>
                  </w14:solidFill>
                </w14:textFill>
              </w:rPr>
              <w:t>采购方</w:t>
            </w:r>
            <w:r>
              <w:rPr>
                <w:rFonts w:hint="eastAsia" w:ascii="宋体" w:hAnsi="宋体" w:eastAsia="宋体" w:cs="仿宋"/>
                <w:color w:val="000000" w:themeColor="text1"/>
                <w:kern w:val="0"/>
                <w:sz w:val="24"/>
                <w:szCs w:val="24"/>
                <w:highlight w:val="none"/>
                <w:lang w:val="en-US" w:eastAsia="zh-CN"/>
                <w14:textFill>
                  <w14:solidFill>
                    <w14:schemeClr w14:val="tx1"/>
                  </w14:solidFill>
                </w14:textFill>
              </w:rPr>
              <w:t>仓库如有，可无偿提供，材料不足部分由</w:t>
            </w:r>
            <w:r>
              <w:rPr>
                <w:rFonts w:hint="eastAsia" w:ascii="宋体" w:hAnsi="宋体" w:cs="仿宋"/>
                <w:color w:val="000000" w:themeColor="text1"/>
                <w:kern w:val="0"/>
                <w:sz w:val="24"/>
                <w:szCs w:val="24"/>
                <w:highlight w:val="none"/>
                <w:lang w:val="en-US" w:eastAsia="zh-CN"/>
                <w14:textFill>
                  <w14:solidFill>
                    <w14:schemeClr w14:val="tx1"/>
                  </w14:solidFill>
                </w14:textFill>
              </w:rPr>
              <w:t>承包方无偿</w:t>
            </w:r>
            <w:r>
              <w:rPr>
                <w:rFonts w:hint="eastAsia" w:ascii="宋体" w:hAnsi="宋体" w:eastAsia="宋体" w:cs="仿宋"/>
                <w:color w:val="000000" w:themeColor="text1"/>
                <w:kern w:val="0"/>
                <w:sz w:val="24"/>
                <w:szCs w:val="24"/>
                <w:highlight w:val="none"/>
                <w:lang w:val="en-US" w:eastAsia="zh-CN"/>
                <w14:textFill>
                  <w14:solidFill>
                    <w14:schemeClr w14:val="tx1"/>
                  </w14:solidFill>
                </w14:textFill>
              </w:rPr>
              <w:t>提供）</w:t>
            </w:r>
            <w:r>
              <w:rPr>
                <w:rFonts w:hint="eastAsia" w:ascii="宋体" w:hAnsi="宋体" w:cs="仿宋"/>
                <w:color w:val="000000" w:themeColor="text1"/>
                <w:kern w:val="0"/>
                <w:sz w:val="24"/>
                <w:szCs w:val="24"/>
                <w:highlight w:val="none"/>
                <w:lang w:val="en-US" w:eastAsia="zh-CN"/>
                <w14:textFill>
                  <w14:solidFill>
                    <w14:schemeClr w14:val="tx1"/>
                  </w14:solidFill>
                </w14:textFill>
              </w:rPr>
              <w:t>；</w:t>
            </w:r>
          </w:p>
          <w:p>
            <w:pPr>
              <w:widowControl/>
              <w:numPr>
                <w:ilvl w:val="-1"/>
                <w:numId w:val="0"/>
              </w:numPr>
              <w:spacing w:line="360" w:lineRule="auto"/>
              <w:jc w:val="left"/>
              <w:rPr>
                <w:rFonts w:hint="default" w:ascii="宋体" w:hAnsi="宋体" w:cs="仿宋"/>
                <w:color w:val="000000" w:themeColor="text1"/>
                <w:kern w:val="0"/>
                <w:sz w:val="24"/>
                <w:szCs w:val="24"/>
                <w:highlight w:val="none"/>
                <w:lang w:val="en-US" w:eastAsia="zh-CN"/>
                <w14:textFill>
                  <w14:solidFill>
                    <w14:schemeClr w14:val="tx1"/>
                  </w14:solidFill>
                </w14:textFill>
              </w:rPr>
            </w:pPr>
            <w:r>
              <w:rPr>
                <w:rFonts w:hint="default" w:ascii="宋体" w:hAnsi="宋体" w:eastAsia="宋体" w:cs="仿宋"/>
                <w:color w:val="000000" w:themeColor="text1"/>
                <w:kern w:val="0"/>
                <w:sz w:val="24"/>
                <w:szCs w:val="24"/>
                <w:highlight w:val="none"/>
                <w:lang w:val="en-US" w:eastAsia="zh-CN" w:bidi="ar-SA"/>
                <w14:textFill>
                  <w14:solidFill>
                    <w14:schemeClr w14:val="tx1"/>
                  </w14:solidFill>
                </w14:textFill>
              </w:rPr>
              <w:t>3、</w:t>
            </w:r>
            <w:r>
              <w:rPr>
                <w:rFonts w:hint="eastAsia" w:ascii="宋体" w:hAnsi="宋体" w:cs="仿宋"/>
                <w:color w:val="000000" w:themeColor="text1"/>
                <w:kern w:val="0"/>
                <w:sz w:val="24"/>
                <w:szCs w:val="24"/>
                <w:highlight w:val="none"/>
                <w:lang w:val="en-US" w:eastAsia="zh-CN"/>
                <w14:textFill>
                  <w14:solidFill>
                    <w14:schemeClr w14:val="tx1"/>
                  </w14:solidFill>
                </w14:textFill>
              </w:rPr>
              <w:t>以上报价含现场水电气接驳二次接驳、移动、调试总包干费用原则。</w:t>
            </w:r>
          </w:p>
          <w:p>
            <w:pPr>
              <w:widowControl/>
              <w:numPr>
                <w:ilvl w:val="-1"/>
                <w:numId w:val="0"/>
              </w:numPr>
              <w:spacing w:line="360" w:lineRule="auto"/>
              <w:jc w:val="left"/>
              <w:rPr>
                <w:rFonts w:hint="default" w:ascii="宋体" w:hAnsi="宋体" w:cs="仿宋"/>
                <w:color w:val="000000" w:themeColor="text1"/>
                <w:kern w:val="0"/>
                <w:sz w:val="24"/>
                <w:szCs w:val="24"/>
                <w:highlight w:val="none"/>
                <w:lang w:val="en-US" w:eastAsia="zh-CN"/>
                <w14:textFill>
                  <w14:solidFill>
                    <w14:schemeClr w14:val="tx1"/>
                  </w14:solidFill>
                </w14:textFill>
              </w:rPr>
            </w:pPr>
            <w:r>
              <w:rPr>
                <w:rFonts w:hint="default" w:ascii="宋体" w:hAnsi="宋体" w:eastAsia="宋体" w:cs="仿宋"/>
                <w:color w:val="000000" w:themeColor="text1"/>
                <w:kern w:val="0"/>
                <w:sz w:val="24"/>
                <w:szCs w:val="24"/>
                <w:highlight w:val="none"/>
                <w:lang w:val="en-US" w:eastAsia="zh-CN" w:bidi="ar-SA"/>
                <w14:textFill>
                  <w14:solidFill>
                    <w14:schemeClr w14:val="tx1"/>
                  </w14:solidFill>
                </w14:textFill>
              </w:rPr>
              <w:t>4、</w:t>
            </w:r>
            <w:r>
              <w:rPr>
                <w:rFonts w:hint="eastAsia" w:ascii="宋体" w:hAnsi="宋体" w:cs="仿宋"/>
                <w:color w:val="000000" w:themeColor="text1"/>
                <w:kern w:val="0"/>
                <w:sz w:val="24"/>
                <w:szCs w:val="24"/>
                <w:highlight w:val="none"/>
                <w:lang w:val="en-US" w:eastAsia="zh-CN"/>
                <w14:textFill>
                  <w14:solidFill>
                    <w14:schemeClr w14:val="tx1"/>
                  </w14:solidFill>
                </w14:textFill>
              </w:rPr>
              <w:t>供排水水压缩空气阀门、管道等安装、整改、拆除。（1.利用发包方提供的材料《包含水/气管及其辅材、电箱及其配套电缆等》，限期内完成指定展位位置的使用需求服务工作。包括搬运、安装、调试、使用过程安全监控和拆卸等展会全过程工作。2.展会期间，承包方配合发包方完成相关服务展位的安全监管，对不符合安全要求的问题及时提出整改意见。）</w:t>
            </w:r>
          </w:p>
          <w:p>
            <w:pPr>
              <w:widowControl/>
              <w:numPr>
                <w:ilvl w:val="0"/>
                <w:numId w:val="0"/>
              </w:numPr>
              <w:spacing w:line="360" w:lineRule="auto"/>
              <w:jc w:val="left"/>
              <w:rPr>
                <w:rFonts w:hint="default" w:ascii="宋体" w:hAnsi="宋体" w:cs="仿宋"/>
                <w:color w:val="000000" w:themeColor="text1"/>
                <w:kern w:val="0"/>
                <w:sz w:val="24"/>
                <w:szCs w:val="24"/>
                <w:highlight w:val="none"/>
                <w:lang w:val="en-US" w:eastAsia="zh-CN"/>
                <w14:textFill>
                  <w14:solidFill>
                    <w14:schemeClr w14:val="tx1"/>
                  </w14:solidFill>
                </w14:textFill>
              </w:rPr>
            </w:pPr>
            <w:r>
              <w:rPr>
                <w:rFonts w:hint="eastAsia" w:ascii="宋体" w:hAnsi="宋体" w:cs="仿宋"/>
                <w:color w:val="000000" w:themeColor="text1"/>
                <w:kern w:val="0"/>
                <w:sz w:val="24"/>
                <w:szCs w:val="24"/>
                <w:highlight w:val="none"/>
                <w:lang w:val="en-US" w:eastAsia="zh-CN"/>
                <w14:textFill>
                  <w14:solidFill>
                    <w14:schemeClr w14:val="tx1"/>
                  </w14:solidFill>
                </w14:textFill>
              </w:rPr>
              <w:t>5、用电点的配电箱、电缆及配管线槽安装、整改、拆除。（1.利用发包方展馆提供的材料《包含配电其辅材、电箱及其配套电缆等》，限期内完成指定展位位置的使用需求服务工作。</w:t>
            </w:r>
          </w:p>
          <w:p>
            <w:pPr>
              <w:widowControl/>
              <w:numPr>
                <w:ilvl w:val="0"/>
                <w:numId w:val="0"/>
              </w:numPr>
              <w:spacing w:line="360" w:lineRule="auto"/>
              <w:jc w:val="left"/>
              <w:rPr>
                <w:rFonts w:hint="default" w:ascii="宋体" w:hAnsi="宋体" w:cs="仿宋"/>
                <w:color w:val="000000" w:themeColor="text1"/>
                <w:kern w:val="0"/>
                <w:sz w:val="24"/>
                <w:szCs w:val="24"/>
                <w:highlight w:val="none"/>
                <w:lang w:val="en-US" w:eastAsia="zh-CN"/>
                <w14:textFill>
                  <w14:solidFill>
                    <w14:schemeClr w14:val="tx1"/>
                  </w14:solidFill>
                </w14:textFill>
              </w:rPr>
            </w:pPr>
            <w:r>
              <w:rPr>
                <w:rFonts w:hint="eastAsia" w:ascii="宋体" w:hAnsi="宋体" w:cs="仿宋"/>
                <w:color w:val="000000" w:themeColor="text1"/>
                <w:kern w:val="0"/>
                <w:sz w:val="24"/>
                <w:szCs w:val="24"/>
                <w:highlight w:val="none"/>
                <w:lang w:val="en-US" w:eastAsia="zh-CN"/>
                <w14:textFill>
                  <w14:solidFill>
                    <w14:schemeClr w14:val="tx1"/>
                  </w14:solidFill>
                </w14:textFill>
              </w:rPr>
              <w:t>6、</w:t>
            </w:r>
            <w:r>
              <w:rPr>
                <w:rFonts w:hint="eastAsia"/>
                <w:color w:val="000000" w:themeColor="text1"/>
                <w:highlight w:val="none"/>
                <w:lang w:val="en-US" w:eastAsia="zh-CN"/>
                <w14:textFill>
                  <w14:solidFill>
                    <w14:schemeClr w14:val="tx1"/>
                  </w14:solidFill>
                </w14:textFill>
              </w:rPr>
              <w:t>其中实际执行业务率=甲方实际从展览中心有限公司结算费用/37.5万</w:t>
            </w:r>
          </w:p>
        </w:tc>
      </w:tr>
    </w:tbl>
    <w:p>
      <w:pPr>
        <w:pStyle w:val="32"/>
        <w:spacing w:line="360" w:lineRule="auto"/>
        <w:rPr>
          <w:rFonts w:ascii="宋体" w:hAnsi="宋体" w:cs="仿宋"/>
          <w:color w:val="000000" w:themeColor="text1"/>
          <w:sz w:val="44"/>
          <w:highlight w:val="none"/>
          <w14:textFill>
            <w14:solidFill>
              <w14:schemeClr w14:val="tx1"/>
            </w14:solidFill>
          </w14:textFill>
        </w:rPr>
      </w:pPr>
    </w:p>
    <w:p>
      <w:pPr>
        <w:pStyle w:val="32"/>
        <w:spacing w:line="360" w:lineRule="auto"/>
        <w:rPr>
          <w:rFonts w:ascii="宋体" w:hAnsi="宋体" w:cs="仿宋"/>
          <w:color w:val="000000" w:themeColor="text1"/>
          <w:sz w:val="44"/>
          <w:highlight w:val="none"/>
          <w14:textFill>
            <w14:solidFill>
              <w14:schemeClr w14:val="tx1"/>
            </w14:solidFill>
          </w14:textFill>
        </w:rPr>
      </w:pPr>
    </w:p>
    <w:p>
      <w:pPr>
        <w:pStyle w:val="32"/>
        <w:spacing w:line="360" w:lineRule="auto"/>
        <w:rPr>
          <w:rFonts w:ascii="宋体" w:hAnsi="宋体" w:cs="仿宋"/>
          <w:color w:val="000000" w:themeColor="text1"/>
          <w:sz w:val="44"/>
          <w:highlight w:val="none"/>
          <w14:textFill>
            <w14:solidFill>
              <w14:schemeClr w14:val="tx1"/>
            </w14:solidFill>
          </w14:textFill>
        </w:rPr>
      </w:pPr>
    </w:p>
    <w:p>
      <w:pPr>
        <w:widowControl/>
        <w:spacing w:line="360" w:lineRule="auto"/>
        <w:jc w:val="left"/>
        <w:rPr>
          <w:rFonts w:ascii="宋体" w:hAnsi="宋体"/>
          <w:color w:val="000000" w:themeColor="text1"/>
          <w:highlight w:val="none"/>
          <w14:textFill>
            <w14:solidFill>
              <w14:schemeClr w14:val="tx1"/>
            </w14:solidFill>
          </w14:textFill>
        </w:rPr>
        <w:sectPr>
          <w:pgSz w:w="11906" w:h="16838"/>
          <w:pgMar w:top="1440" w:right="1797" w:bottom="1440" w:left="1797" w:header="851" w:footer="992" w:gutter="0"/>
          <w:cols w:space="720" w:num="1"/>
          <w:docGrid w:type="linesAndChars" w:linePitch="312" w:charSpace="0"/>
        </w:sectPr>
      </w:pPr>
    </w:p>
    <w:p>
      <w:pPr>
        <w:tabs>
          <w:tab w:val="left" w:pos="540"/>
        </w:tabs>
        <w:snapToGrid w:val="0"/>
        <w:spacing w:line="360" w:lineRule="auto"/>
        <w:ind w:left="210" w:right="840"/>
        <w:jc w:val="left"/>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color w:val="000000" w:themeColor="text1"/>
          <w:sz w:val="32"/>
          <w:szCs w:val="32"/>
          <w:highlight w:val="none"/>
          <w14:textFill>
            <w14:solidFill>
              <w14:schemeClr w14:val="tx1"/>
            </w14:solidFill>
          </w14:textFill>
        </w:rPr>
        <w:t>附</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件3：</w:t>
      </w:r>
    </w:p>
    <w:p>
      <w:pPr>
        <w:tabs>
          <w:tab w:val="left" w:pos="540"/>
        </w:tabs>
        <w:snapToGrid w:val="0"/>
        <w:spacing w:line="360" w:lineRule="auto"/>
        <w:ind w:left="210" w:right="840"/>
        <w:jc w:val="center"/>
        <w:rPr>
          <w:rFonts w:hint="eastAsia"/>
          <w:b/>
          <w:bCs w:val="0"/>
          <w:color w:val="000000" w:themeColor="text1"/>
          <w:sz w:val="24"/>
          <w:highlight w:val="none"/>
          <w:u w:val="none"/>
          <w14:textFill>
            <w14:solidFill>
              <w14:schemeClr w14:val="tx1"/>
            </w14:solidFill>
          </w14:textFill>
        </w:rPr>
      </w:pPr>
      <w:r>
        <w:rPr>
          <w:rFonts w:ascii="宋体" w:hAnsi="宋体" w:cs="仿宋"/>
          <w:b/>
          <w:color w:val="000000" w:themeColor="text1"/>
          <w:sz w:val="28"/>
          <w:highlight w:val="none"/>
          <w14:textFill>
            <w14:solidFill>
              <w14:schemeClr w14:val="tx1"/>
            </w14:solidFill>
          </w14:textFill>
        </w:rPr>
        <w:t>《</w:t>
      </w:r>
      <w:r>
        <w:rPr>
          <w:rFonts w:ascii="宋体" w:hAnsi="宋体" w:cs="仿宋"/>
          <w:b/>
          <w:bCs/>
          <w:color w:val="000000" w:themeColor="text1"/>
          <w:sz w:val="28"/>
          <w:szCs w:val="28"/>
          <w:highlight w:val="none"/>
          <w14:textFill>
            <w14:solidFill>
              <w14:schemeClr w14:val="tx1"/>
            </w14:solidFill>
          </w14:textFill>
        </w:rPr>
        <w:t>展会水电现场外包服务评价表</w:t>
      </w:r>
      <w:r>
        <w:rPr>
          <w:rFonts w:ascii="宋体" w:hAnsi="宋体" w:cs="仿宋"/>
          <w:b/>
          <w:color w:val="000000" w:themeColor="text1"/>
          <w:sz w:val="28"/>
          <w:highlight w:val="none"/>
          <w14:textFill>
            <w14:solidFill>
              <w14:schemeClr w14:val="tx1"/>
            </w14:solidFill>
          </w14:textFill>
        </w:rPr>
        <w:t>》</w:t>
      </w:r>
    </w:p>
    <w:p>
      <w:pPr>
        <w:spacing w:line="440" w:lineRule="exact"/>
        <w:rPr>
          <w:rFonts w:hint="eastAsia"/>
          <w:color w:val="000000" w:themeColor="text1"/>
          <w:sz w:val="24"/>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ＮＯ：</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80"/>
        <w:gridCol w:w="1500"/>
        <w:gridCol w:w="460"/>
        <w:gridCol w:w="1185"/>
        <w:gridCol w:w="1130"/>
        <w:gridCol w:w="619"/>
        <w:gridCol w:w="771"/>
        <w:gridCol w:w="230"/>
        <w:gridCol w:w="315"/>
        <w:gridCol w:w="679"/>
        <w:gridCol w:w="645"/>
        <w:gridCol w:w="58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895" w:type="dxa"/>
            <w:gridSpan w:val="3"/>
            <w:noWrap w:val="0"/>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乙</w:t>
            </w:r>
            <w:r>
              <w:rPr>
                <w:rFonts w:hint="eastAsia"/>
                <w:color w:val="000000" w:themeColor="text1"/>
                <w:sz w:val="24"/>
                <w:highlight w:val="none"/>
                <w14:textFill>
                  <w14:solidFill>
                    <w14:schemeClr w14:val="tx1"/>
                  </w14:solidFill>
                </w14:textFill>
              </w:rPr>
              <w:t>方名称</w:t>
            </w:r>
          </w:p>
        </w:tc>
        <w:tc>
          <w:tcPr>
            <w:tcW w:w="2775" w:type="dxa"/>
            <w:gridSpan w:val="3"/>
            <w:noWrap w:val="0"/>
            <w:vAlign w:val="center"/>
          </w:tcPr>
          <w:p>
            <w:pPr>
              <w:ind w:firstLine="360" w:firstLineChars="150"/>
              <w:jc w:val="center"/>
              <w:rPr>
                <w:rFonts w:hint="eastAsia"/>
                <w:color w:val="000000" w:themeColor="text1"/>
                <w:sz w:val="24"/>
                <w:highlight w:val="none"/>
                <w14:textFill>
                  <w14:solidFill>
                    <w14:schemeClr w14:val="tx1"/>
                  </w14:solidFill>
                </w14:textFill>
              </w:rPr>
            </w:pPr>
          </w:p>
        </w:tc>
        <w:tc>
          <w:tcPr>
            <w:tcW w:w="1620" w:type="dxa"/>
            <w:gridSpan w:val="3"/>
            <w:noWrap w:val="0"/>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评价时间段</w:t>
            </w:r>
          </w:p>
        </w:tc>
        <w:tc>
          <w:tcPr>
            <w:tcW w:w="2944" w:type="dxa"/>
            <w:gridSpan w:val="5"/>
            <w:noWrap w:val="0"/>
            <w:vAlign w:val="center"/>
          </w:tcPr>
          <w:p>
            <w:pPr>
              <w:jc w:val="center"/>
              <w:rPr>
                <w:rFonts w:hint="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895" w:type="dxa"/>
            <w:gridSpan w:val="3"/>
            <w:noWrap w:val="0"/>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乙</w:t>
            </w:r>
            <w:r>
              <w:rPr>
                <w:rFonts w:hint="eastAsia"/>
                <w:color w:val="000000" w:themeColor="text1"/>
                <w:sz w:val="24"/>
                <w:highlight w:val="none"/>
                <w14:textFill>
                  <w14:solidFill>
                    <w14:schemeClr w14:val="tx1"/>
                  </w14:solidFill>
                </w14:textFill>
              </w:rPr>
              <w:t>方联系人</w:t>
            </w:r>
          </w:p>
        </w:tc>
        <w:tc>
          <w:tcPr>
            <w:tcW w:w="2775" w:type="dxa"/>
            <w:gridSpan w:val="3"/>
            <w:noWrap w:val="0"/>
            <w:vAlign w:val="center"/>
          </w:tcPr>
          <w:p>
            <w:pPr>
              <w:ind w:firstLine="360" w:firstLineChars="150"/>
              <w:jc w:val="center"/>
              <w:rPr>
                <w:rFonts w:hint="eastAsia"/>
                <w:color w:val="000000" w:themeColor="text1"/>
                <w:sz w:val="24"/>
                <w:highlight w:val="none"/>
                <w14:textFill>
                  <w14:solidFill>
                    <w14:schemeClr w14:val="tx1"/>
                  </w14:solidFill>
                </w14:textFill>
              </w:rPr>
            </w:pPr>
          </w:p>
        </w:tc>
        <w:tc>
          <w:tcPr>
            <w:tcW w:w="1620" w:type="dxa"/>
            <w:gridSpan w:val="3"/>
            <w:noWrap w:val="0"/>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联系电话</w:t>
            </w:r>
          </w:p>
        </w:tc>
        <w:tc>
          <w:tcPr>
            <w:tcW w:w="2944" w:type="dxa"/>
            <w:gridSpan w:val="5"/>
            <w:noWrap w:val="0"/>
            <w:vAlign w:val="center"/>
          </w:tcPr>
          <w:p>
            <w:pPr>
              <w:jc w:val="center"/>
              <w:rPr>
                <w:rFonts w:hint="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895" w:type="dxa"/>
            <w:gridSpan w:val="3"/>
            <w:noWrap w:val="0"/>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填表人</w:t>
            </w:r>
          </w:p>
        </w:tc>
        <w:tc>
          <w:tcPr>
            <w:tcW w:w="2775" w:type="dxa"/>
            <w:gridSpan w:val="3"/>
            <w:noWrap w:val="0"/>
            <w:vAlign w:val="center"/>
          </w:tcPr>
          <w:p>
            <w:pPr>
              <w:jc w:val="center"/>
              <w:rPr>
                <w:rFonts w:hint="eastAsia"/>
                <w:color w:val="000000" w:themeColor="text1"/>
                <w:sz w:val="24"/>
                <w:highlight w:val="none"/>
                <w14:textFill>
                  <w14:solidFill>
                    <w14:schemeClr w14:val="tx1"/>
                  </w14:solidFill>
                </w14:textFill>
              </w:rPr>
            </w:pPr>
          </w:p>
        </w:tc>
        <w:tc>
          <w:tcPr>
            <w:tcW w:w="1620" w:type="dxa"/>
            <w:gridSpan w:val="3"/>
            <w:noWrap w:val="0"/>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填表时间</w:t>
            </w:r>
          </w:p>
        </w:tc>
        <w:tc>
          <w:tcPr>
            <w:tcW w:w="2944" w:type="dxa"/>
            <w:gridSpan w:val="5"/>
            <w:noWrap w:val="0"/>
            <w:vAlign w:val="center"/>
          </w:tcPr>
          <w:p>
            <w:pPr>
              <w:jc w:val="center"/>
              <w:rPr>
                <w:rFonts w:hint="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895" w:type="dxa"/>
            <w:gridSpan w:val="3"/>
            <w:noWrap w:val="0"/>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服务项目</w:t>
            </w:r>
          </w:p>
        </w:tc>
        <w:tc>
          <w:tcPr>
            <w:tcW w:w="7339" w:type="dxa"/>
            <w:gridSpan w:val="11"/>
            <w:noWrap w:val="0"/>
            <w:vAlign w:val="center"/>
          </w:tcPr>
          <w:p>
            <w:pPr>
              <w:jc w:val="left"/>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展会现场水电气接驳服务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2895" w:type="dxa"/>
            <w:gridSpan w:val="3"/>
            <w:vMerge w:val="restart"/>
            <w:noWrap w:val="0"/>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评价内容</w:t>
            </w:r>
          </w:p>
        </w:tc>
        <w:tc>
          <w:tcPr>
            <w:tcW w:w="4710" w:type="dxa"/>
            <w:gridSpan w:val="7"/>
            <w:vMerge w:val="restart"/>
            <w:noWrap w:val="0"/>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评价说明</w:t>
            </w:r>
          </w:p>
        </w:tc>
        <w:tc>
          <w:tcPr>
            <w:tcW w:w="2629" w:type="dxa"/>
            <w:gridSpan w:val="4"/>
            <w:noWrap w:val="0"/>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2895" w:type="dxa"/>
            <w:gridSpan w:val="3"/>
            <w:vMerge w:val="continue"/>
            <w:noWrap w:val="0"/>
            <w:vAlign w:val="center"/>
          </w:tcPr>
          <w:p>
            <w:pPr>
              <w:jc w:val="center"/>
              <w:rPr>
                <w:rFonts w:hint="eastAsia"/>
                <w:color w:val="000000" w:themeColor="text1"/>
                <w:sz w:val="24"/>
                <w:highlight w:val="none"/>
                <w14:textFill>
                  <w14:solidFill>
                    <w14:schemeClr w14:val="tx1"/>
                  </w14:solidFill>
                </w14:textFill>
              </w:rPr>
            </w:pPr>
          </w:p>
        </w:tc>
        <w:tc>
          <w:tcPr>
            <w:tcW w:w="4710" w:type="dxa"/>
            <w:gridSpan w:val="7"/>
            <w:vMerge w:val="continue"/>
            <w:noWrap w:val="0"/>
            <w:vAlign w:val="center"/>
          </w:tcPr>
          <w:p>
            <w:pPr>
              <w:jc w:val="center"/>
              <w:rPr>
                <w:rFonts w:hint="eastAsia"/>
                <w:color w:val="000000" w:themeColor="text1"/>
                <w:sz w:val="24"/>
                <w:highlight w:val="none"/>
                <w14:textFill>
                  <w14:solidFill>
                    <w14:schemeClr w14:val="tx1"/>
                  </w14:solidFill>
                </w14:textFill>
              </w:rPr>
            </w:pPr>
          </w:p>
        </w:tc>
        <w:tc>
          <w:tcPr>
            <w:tcW w:w="679" w:type="dxa"/>
            <w:noWrap w:val="0"/>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差</w:t>
            </w:r>
          </w:p>
        </w:tc>
        <w:tc>
          <w:tcPr>
            <w:tcW w:w="645" w:type="dxa"/>
            <w:noWrap w:val="0"/>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w:t>
            </w:r>
          </w:p>
        </w:tc>
        <w:tc>
          <w:tcPr>
            <w:tcW w:w="585" w:type="dxa"/>
            <w:noWrap w:val="0"/>
            <w:vAlign w:val="center"/>
          </w:tcPr>
          <w:p>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良</w:t>
            </w:r>
          </w:p>
        </w:tc>
        <w:tc>
          <w:tcPr>
            <w:tcW w:w="720" w:type="dxa"/>
            <w:noWrap w:val="0"/>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2895" w:type="dxa"/>
            <w:gridSpan w:val="3"/>
            <w:vMerge w:val="continue"/>
            <w:noWrap w:val="0"/>
            <w:vAlign w:val="center"/>
          </w:tcPr>
          <w:p>
            <w:pPr>
              <w:jc w:val="center"/>
              <w:rPr>
                <w:rFonts w:hint="eastAsia"/>
                <w:color w:val="000000" w:themeColor="text1"/>
                <w:sz w:val="24"/>
                <w:highlight w:val="none"/>
                <w14:textFill>
                  <w14:solidFill>
                    <w14:schemeClr w14:val="tx1"/>
                  </w14:solidFill>
                </w14:textFill>
              </w:rPr>
            </w:pPr>
          </w:p>
        </w:tc>
        <w:tc>
          <w:tcPr>
            <w:tcW w:w="4710" w:type="dxa"/>
            <w:gridSpan w:val="7"/>
            <w:vMerge w:val="continue"/>
            <w:noWrap w:val="0"/>
            <w:vAlign w:val="center"/>
          </w:tcPr>
          <w:p>
            <w:pPr>
              <w:jc w:val="center"/>
              <w:rPr>
                <w:rFonts w:hint="eastAsia"/>
                <w:color w:val="000000" w:themeColor="text1"/>
                <w:sz w:val="24"/>
                <w:highlight w:val="none"/>
                <w14:textFill>
                  <w14:solidFill>
                    <w14:schemeClr w14:val="tx1"/>
                  </w14:solidFill>
                </w14:textFill>
              </w:rPr>
            </w:pPr>
          </w:p>
        </w:tc>
        <w:tc>
          <w:tcPr>
            <w:tcW w:w="679" w:type="dxa"/>
            <w:noWrap w:val="0"/>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4-6</w:t>
            </w:r>
          </w:p>
        </w:tc>
        <w:tc>
          <w:tcPr>
            <w:tcW w:w="645" w:type="dxa"/>
            <w:noWrap w:val="0"/>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6-8</w:t>
            </w:r>
          </w:p>
        </w:tc>
        <w:tc>
          <w:tcPr>
            <w:tcW w:w="585" w:type="dxa"/>
            <w:noWrap w:val="0"/>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8-9</w:t>
            </w:r>
          </w:p>
        </w:tc>
        <w:tc>
          <w:tcPr>
            <w:tcW w:w="720" w:type="dxa"/>
            <w:noWrap w:val="0"/>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615" w:type="dxa"/>
            <w:tcBorders>
              <w:bottom w:val="single" w:color="auto" w:sz="4" w:space="0"/>
            </w:tcBorders>
            <w:noWrap w:val="0"/>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p>
        </w:tc>
        <w:tc>
          <w:tcPr>
            <w:tcW w:w="2280" w:type="dxa"/>
            <w:gridSpan w:val="2"/>
            <w:tcBorders>
              <w:bottom w:val="single" w:color="auto" w:sz="4" w:space="0"/>
            </w:tcBorders>
            <w:noWrap w:val="0"/>
            <w:vAlign w:val="center"/>
          </w:tcPr>
          <w:p>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人员到岗状况</w:t>
            </w:r>
          </w:p>
        </w:tc>
        <w:tc>
          <w:tcPr>
            <w:tcW w:w="4710" w:type="dxa"/>
            <w:gridSpan w:val="7"/>
            <w:tcBorders>
              <w:bottom w:val="single" w:color="auto" w:sz="4" w:space="0"/>
            </w:tcBorders>
            <w:noWrap w:val="0"/>
            <w:vAlign w:val="center"/>
          </w:tcPr>
          <w:p>
            <w:pPr>
              <w:rPr>
                <w:rFonts w:hint="eastAsia"/>
                <w:color w:val="000000" w:themeColor="text1"/>
                <w:sz w:val="24"/>
                <w:highlight w:val="none"/>
                <w14:textFill>
                  <w14:solidFill>
                    <w14:schemeClr w14:val="tx1"/>
                  </w14:solidFill>
                </w14:textFill>
              </w:rPr>
            </w:pPr>
          </w:p>
        </w:tc>
        <w:tc>
          <w:tcPr>
            <w:tcW w:w="679" w:type="dxa"/>
            <w:noWrap w:val="0"/>
            <w:vAlign w:val="center"/>
          </w:tcPr>
          <w:p>
            <w:pPr>
              <w:rPr>
                <w:rFonts w:hint="eastAsia"/>
                <w:color w:val="000000" w:themeColor="text1"/>
                <w:sz w:val="24"/>
                <w:highlight w:val="none"/>
                <w14:textFill>
                  <w14:solidFill>
                    <w14:schemeClr w14:val="tx1"/>
                  </w14:solidFill>
                </w14:textFill>
              </w:rPr>
            </w:pPr>
          </w:p>
        </w:tc>
        <w:tc>
          <w:tcPr>
            <w:tcW w:w="645" w:type="dxa"/>
            <w:noWrap w:val="0"/>
            <w:vAlign w:val="center"/>
          </w:tcPr>
          <w:p>
            <w:pPr>
              <w:rPr>
                <w:rFonts w:hint="eastAsia"/>
                <w:color w:val="000000" w:themeColor="text1"/>
                <w:sz w:val="24"/>
                <w:highlight w:val="none"/>
                <w14:textFill>
                  <w14:solidFill>
                    <w14:schemeClr w14:val="tx1"/>
                  </w14:solidFill>
                </w14:textFill>
              </w:rPr>
            </w:pPr>
          </w:p>
        </w:tc>
        <w:tc>
          <w:tcPr>
            <w:tcW w:w="585" w:type="dxa"/>
            <w:noWrap w:val="0"/>
            <w:vAlign w:val="center"/>
          </w:tcPr>
          <w:p>
            <w:pPr>
              <w:rPr>
                <w:rFonts w:hint="eastAsia"/>
                <w:color w:val="000000" w:themeColor="text1"/>
                <w:sz w:val="24"/>
                <w:highlight w:val="none"/>
                <w14:textFill>
                  <w14:solidFill>
                    <w14:schemeClr w14:val="tx1"/>
                  </w14:solidFill>
                </w14:textFill>
              </w:rPr>
            </w:pPr>
          </w:p>
        </w:tc>
        <w:tc>
          <w:tcPr>
            <w:tcW w:w="720" w:type="dxa"/>
            <w:noWrap w:val="0"/>
            <w:vAlign w:val="center"/>
          </w:tcPr>
          <w:p>
            <w:pPr>
              <w:rPr>
                <w:rFonts w:hint="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615" w:type="dxa"/>
            <w:noWrap w:val="0"/>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p>
        </w:tc>
        <w:tc>
          <w:tcPr>
            <w:tcW w:w="2280" w:type="dxa"/>
            <w:gridSpan w:val="2"/>
            <w:noWrap w:val="0"/>
            <w:vAlign w:val="center"/>
          </w:tcPr>
          <w:p>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人员仪容仪表</w:t>
            </w:r>
          </w:p>
        </w:tc>
        <w:tc>
          <w:tcPr>
            <w:tcW w:w="4710" w:type="dxa"/>
            <w:gridSpan w:val="7"/>
            <w:noWrap w:val="0"/>
            <w:vAlign w:val="center"/>
          </w:tcPr>
          <w:p>
            <w:pPr>
              <w:rPr>
                <w:rFonts w:hint="eastAsia"/>
                <w:color w:val="000000" w:themeColor="text1"/>
                <w:sz w:val="24"/>
                <w:highlight w:val="none"/>
                <w14:textFill>
                  <w14:solidFill>
                    <w14:schemeClr w14:val="tx1"/>
                  </w14:solidFill>
                </w14:textFill>
              </w:rPr>
            </w:pPr>
          </w:p>
        </w:tc>
        <w:tc>
          <w:tcPr>
            <w:tcW w:w="679" w:type="dxa"/>
            <w:noWrap w:val="0"/>
            <w:vAlign w:val="center"/>
          </w:tcPr>
          <w:p>
            <w:pPr>
              <w:rPr>
                <w:rFonts w:hint="eastAsia"/>
                <w:color w:val="000000" w:themeColor="text1"/>
                <w:sz w:val="24"/>
                <w:highlight w:val="none"/>
                <w14:textFill>
                  <w14:solidFill>
                    <w14:schemeClr w14:val="tx1"/>
                  </w14:solidFill>
                </w14:textFill>
              </w:rPr>
            </w:pPr>
          </w:p>
        </w:tc>
        <w:tc>
          <w:tcPr>
            <w:tcW w:w="645" w:type="dxa"/>
            <w:noWrap w:val="0"/>
            <w:vAlign w:val="center"/>
          </w:tcPr>
          <w:p>
            <w:pPr>
              <w:rPr>
                <w:rFonts w:hint="eastAsia"/>
                <w:color w:val="000000" w:themeColor="text1"/>
                <w:sz w:val="24"/>
                <w:highlight w:val="none"/>
                <w14:textFill>
                  <w14:solidFill>
                    <w14:schemeClr w14:val="tx1"/>
                  </w14:solidFill>
                </w14:textFill>
              </w:rPr>
            </w:pPr>
          </w:p>
        </w:tc>
        <w:tc>
          <w:tcPr>
            <w:tcW w:w="585" w:type="dxa"/>
            <w:noWrap w:val="0"/>
            <w:vAlign w:val="center"/>
          </w:tcPr>
          <w:p>
            <w:pPr>
              <w:rPr>
                <w:rFonts w:hint="eastAsia"/>
                <w:color w:val="000000" w:themeColor="text1"/>
                <w:sz w:val="24"/>
                <w:highlight w:val="none"/>
                <w14:textFill>
                  <w14:solidFill>
                    <w14:schemeClr w14:val="tx1"/>
                  </w14:solidFill>
                </w14:textFill>
              </w:rPr>
            </w:pPr>
          </w:p>
        </w:tc>
        <w:tc>
          <w:tcPr>
            <w:tcW w:w="720" w:type="dxa"/>
            <w:noWrap w:val="0"/>
            <w:vAlign w:val="center"/>
          </w:tcPr>
          <w:p>
            <w:pPr>
              <w:rPr>
                <w:rFonts w:hint="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615" w:type="dxa"/>
            <w:tcBorders>
              <w:bottom w:val="single" w:color="auto" w:sz="4" w:space="0"/>
            </w:tcBorders>
            <w:noWrap w:val="0"/>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p>
        </w:tc>
        <w:tc>
          <w:tcPr>
            <w:tcW w:w="2280" w:type="dxa"/>
            <w:gridSpan w:val="2"/>
            <w:tcBorders>
              <w:bottom w:val="single" w:color="auto" w:sz="4" w:space="0"/>
            </w:tcBorders>
            <w:noWrap w:val="0"/>
            <w:vAlign w:val="center"/>
          </w:tcPr>
          <w:p>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人员行为规范</w:t>
            </w:r>
          </w:p>
        </w:tc>
        <w:tc>
          <w:tcPr>
            <w:tcW w:w="4710" w:type="dxa"/>
            <w:gridSpan w:val="7"/>
            <w:tcBorders>
              <w:bottom w:val="single" w:color="auto" w:sz="4" w:space="0"/>
            </w:tcBorders>
            <w:noWrap w:val="0"/>
            <w:vAlign w:val="center"/>
          </w:tcPr>
          <w:p>
            <w:pPr>
              <w:ind w:firstLine="240" w:firstLineChars="100"/>
              <w:rPr>
                <w:rFonts w:hint="eastAsia"/>
                <w:color w:val="000000" w:themeColor="text1"/>
                <w:sz w:val="24"/>
                <w:highlight w:val="none"/>
                <w14:textFill>
                  <w14:solidFill>
                    <w14:schemeClr w14:val="tx1"/>
                  </w14:solidFill>
                </w14:textFill>
              </w:rPr>
            </w:pPr>
          </w:p>
        </w:tc>
        <w:tc>
          <w:tcPr>
            <w:tcW w:w="679" w:type="dxa"/>
            <w:noWrap w:val="0"/>
            <w:vAlign w:val="center"/>
          </w:tcPr>
          <w:p>
            <w:pPr>
              <w:ind w:firstLine="240" w:firstLineChars="100"/>
              <w:rPr>
                <w:rFonts w:hint="eastAsia"/>
                <w:color w:val="000000" w:themeColor="text1"/>
                <w:sz w:val="24"/>
                <w:highlight w:val="none"/>
                <w14:textFill>
                  <w14:solidFill>
                    <w14:schemeClr w14:val="tx1"/>
                  </w14:solidFill>
                </w14:textFill>
              </w:rPr>
            </w:pPr>
          </w:p>
        </w:tc>
        <w:tc>
          <w:tcPr>
            <w:tcW w:w="645" w:type="dxa"/>
            <w:noWrap w:val="0"/>
            <w:vAlign w:val="center"/>
          </w:tcPr>
          <w:p>
            <w:pPr>
              <w:ind w:firstLine="240" w:firstLineChars="100"/>
              <w:rPr>
                <w:rFonts w:hint="eastAsia"/>
                <w:color w:val="000000" w:themeColor="text1"/>
                <w:sz w:val="24"/>
                <w:highlight w:val="none"/>
                <w14:textFill>
                  <w14:solidFill>
                    <w14:schemeClr w14:val="tx1"/>
                  </w14:solidFill>
                </w14:textFill>
              </w:rPr>
            </w:pPr>
          </w:p>
        </w:tc>
        <w:tc>
          <w:tcPr>
            <w:tcW w:w="585" w:type="dxa"/>
            <w:noWrap w:val="0"/>
            <w:vAlign w:val="center"/>
          </w:tcPr>
          <w:p>
            <w:pPr>
              <w:ind w:firstLine="240" w:firstLineChars="100"/>
              <w:rPr>
                <w:rFonts w:hint="eastAsia"/>
                <w:color w:val="000000" w:themeColor="text1"/>
                <w:sz w:val="24"/>
                <w:highlight w:val="none"/>
                <w14:textFill>
                  <w14:solidFill>
                    <w14:schemeClr w14:val="tx1"/>
                  </w14:solidFill>
                </w14:textFill>
              </w:rPr>
            </w:pPr>
          </w:p>
        </w:tc>
        <w:tc>
          <w:tcPr>
            <w:tcW w:w="720" w:type="dxa"/>
            <w:noWrap w:val="0"/>
            <w:vAlign w:val="center"/>
          </w:tcPr>
          <w:p>
            <w:pPr>
              <w:ind w:firstLine="240" w:firstLineChars="100"/>
              <w:rPr>
                <w:rFonts w:hint="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615" w:type="dxa"/>
            <w:tcBorders>
              <w:bottom w:val="single" w:color="auto" w:sz="4" w:space="0"/>
            </w:tcBorders>
            <w:noWrap w:val="0"/>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w:t>
            </w:r>
          </w:p>
        </w:tc>
        <w:tc>
          <w:tcPr>
            <w:tcW w:w="2280" w:type="dxa"/>
            <w:gridSpan w:val="2"/>
            <w:tcBorders>
              <w:bottom w:val="single" w:color="auto" w:sz="4" w:space="0"/>
            </w:tcBorders>
            <w:noWrap w:val="0"/>
            <w:vAlign w:val="center"/>
          </w:tcPr>
          <w:p>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计划制定及执行</w:t>
            </w:r>
          </w:p>
        </w:tc>
        <w:tc>
          <w:tcPr>
            <w:tcW w:w="4710" w:type="dxa"/>
            <w:gridSpan w:val="7"/>
            <w:tcBorders>
              <w:bottom w:val="single" w:color="auto" w:sz="4" w:space="0"/>
            </w:tcBorders>
            <w:noWrap w:val="0"/>
            <w:vAlign w:val="center"/>
          </w:tcPr>
          <w:p>
            <w:pPr>
              <w:ind w:firstLine="240" w:firstLineChars="100"/>
              <w:rPr>
                <w:rFonts w:hint="eastAsia"/>
                <w:color w:val="000000" w:themeColor="text1"/>
                <w:sz w:val="24"/>
                <w:highlight w:val="none"/>
                <w14:textFill>
                  <w14:solidFill>
                    <w14:schemeClr w14:val="tx1"/>
                  </w14:solidFill>
                </w14:textFill>
              </w:rPr>
            </w:pPr>
          </w:p>
        </w:tc>
        <w:tc>
          <w:tcPr>
            <w:tcW w:w="679" w:type="dxa"/>
            <w:noWrap w:val="0"/>
            <w:vAlign w:val="center"/>
          </w:tcPr>
          <w:p>
            <w:pPr>
              <w:ind w:firstLine="240" w:firstLineChars="100"/>
              <w:rPr>
                <w:rFonts w:hint="eastAsia"/>
                <w:color w:val="000000" w:themeColor="text1"/>
                <w:sz w:val="24"/>
                <w:highlight w:val="none"/>
                <w14:textFill>
                  <w14:solidFill>
                    <w14:schemeClr w14:val="tx1"/>
                  </w14:solidFill>
                </w14:textFill>
              </w:rPr>
            </w:pPr>
          </w:p>
        </w:tc>
        <w:tc>
          <w:tcPr>
            <w:tcW w:w="645" w:type="dxa"/>
            <w:noWrap w:val="0"/>
            <w:vAlign w:val="center"/>
          </w:tcPr>
          <w:p>
            <w:pPr>
              <w:ind w:firstLine="240" w:firstLineChars="100"/>
              <w:rPr>
                <w:rFonts w:hint="eastAsia"/>
                <w:color w:val="000000" w:themeColor="text1"/>
                <w:sz w:val="24"/>
                <w:highlight w:val="none"/>
                <w14:textFill>
                  <w14:solidFill>
                    <w14:schemeClr w14:val="tx1"/>
                  </w14:solidFill>
                </w14:textFill>
              </w:rPr>
            </w:pPr>
          </w:p>
        </w:tc>
        <w:tc>
          <w:tcPr>
            <w:tcW w:w="585" w:type="dxa"/>
            <w:noWrap w:val="0"/>
            <w:vAlign w:val="center"/>
          </w:tcPr>
          <w:p>
            <w:pPr>
              <w:ind w:firstLine="240" w:firstLineChars="100"/>
              <w:rPr>
                <w:rFonts w:hint="eastAsia"/>
                <w:color w:val="000000" w:themeColor="text1"/>
                <w:sz w:val="24"/>
                <w:highlight w:val="none"/>
                <w14:textFill>
                  <w14:solidFill>
                    <w14:schemeClr w14:val="tx1"/>
                  </w14:solidFill>
                </w14:textFill>
              </w:rPr>
            </w:pPr>
          </w:p>
        </w:tc>
        <w:tc>
          <w:tcPr>
            <w:tcW w:w="720" w:type="dxa"/>
            <w:noWrap w:val="0"/>
            <w:vAlign w:val="center"/>
          </w:tcPr>
          <w:p>
            <w:pPr>
              <w:ind w:firstLine="240" w:firstLineChars="100"/>
              <w:rPr>
                <w:rFonts w:hint="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615" w:type="dxa"/>
            <w:tcBorders>
              <w:bottom w:val="single" w:color="auto" w:sz="4" w:space="0"/>
            </w:tcBorders>
            <w:noWrap w:val="0"/>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w:t>
            </w:r>
          </w:p>
        </w:tc>
        <w:tc>
          <w:tcPr>
            <w:tcW w:w="2280" w:type="dxa"/>
            <w:gridSpan w:val="2"/>
            <w:tcBorders>
              <w:bottom w:val="single" w:color="auto" w:sz="4" w:space="0"/>
            </w:tcBorders>
            <w:noWrap w:val="0"/>
            <w:vAlign w:val="center"/>
          </w:tcPr>
          <w:p>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现场感观效果</w:t>
            </w:r>
          </w:p>
        </w:tc>
        <w:tc>
          <w:tcPr>
            <w:tcW w:w="4710" w:type="dxa"/>
            <w:gridSpan w:val="7"/>
            <w:tcBorders>
              <w:bottom w:val="single" w:color="auto" w:sz="4" w:space="0"/>
            </w:tcBorders>
            <w:noWrap w:val="0"/>
            <w:vAlign w:val="center"/>
          </w:tcPr>
          <w:p>
            <w:pPr>
              <w:ind w:firstLine="240" w:firstLineChars="100"/>
              <w:rPr>
                <w:rFonts w:hint="eastAsia"/>
                <w:color w:val="000000" w:themeColor="text1"/>
                <w:sz w:val="24"/>
                <w:highlight w:val="none"/>
                <w14:textFill>
                  <w14:solidFill>
                    <w14:schemeClr w14:val="tx1"/>
                  </w14:solidFill>
                </w14:textFill>
              </w:rPr>
            </w:pPr>
          </w:p>
        </w:tc>
        <w:tc>
          <w:tcPr>
            <w:tcW w:w="679" w:type="dxa"/>
            <w:noWrap w:val="0"/>
            <w:vAlign w:val="center"/>
          </w:tcPr>
          <w:p>
            <w:pPr>
              <w:rPr>
                <w:rFonts w:hint="eastAsia"/>
                <w:color w:val="000000" w:themeColor="text1"/>
                <w:sz w:val="24"/>
                <w:highlight w:val="none"/>
                <w14:textFill>
                  <w14:solidFill>
                    <w14:schemeClr w14:val="tx1"/>
                  </w14:solidFill>
                </w14:textFill>
              </w:rPr>
            </w:pPr>
          </w:p>
        </w:tc>
        <w:tc>
          <w:tcPr>
            <w:tcW w:w="645" w:type="dxa"/>
            <w:noWrap w:val="0"/>
            <w:vAlign w:val="center"/>
          </w:tcPr>
          <w:p>
            <w:pPr>
              <w:rPr>
                <w:rFonts w:hint="eastAsia"/>
                <w:color w:val="000000" w:themeColor="text1"/>
                <w:sz w:val="24"/>
                <w:highlight w:val="none"/>
                <w14:textFill>
                  <w14:solidFill>
                    <w14:schemeClr w14:val="tx1"/>
                  </w14:solidFill>
                </w14:textFill>
              </w:rPr>
            </w:pPr>
          </w:p>
        </w:tc>
        <w:tc>
          <w:tcPr>
            <w:tcW w:w="585" w:type="dxa"/>
            <w:noWrap w:val="0"/>
            <w:vAlign w:val="center"/>
          </w:tcPr>
          <w:p>
            <w:pPr>
              <w:rPr>
                <w:rFonts w:hint="eastAsia"/>
                <w:color w:val="000000" w:themeColor="text1"/>
                <w:sz w:val="24"/>
                <w:highlight w:val="none"/>
                <w14:textFill>
                  <w14:solidFill>
                    <w14:schemeClr w14:val="tx1"/>
                  </w14:solidFill>
                </w14:textFill>
              </w:rPr>
            </w:pPr>
          </w:p>
        </w:tc>
        <w:tc>
          <w:tcPr>
            <w:tcW w:w="720" w:type="dxa"/>
            <w:noWrap w:val="0"/>
            <w:vAlign w:val="center"/>
          </w:tcPr>
          <w:p>
            <w:pPr>
              <w:rPr>
                <w:rFonts w:hint="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615" w:type="dxa"/>
            <w:tcBorders>
              <w:bottom w:val="single" w:color="auto" w:sz="4" w:space="0"/>
            </w:tcBorders>
            <w:noWrap w:val="0"/>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w:t>
            </w:r>
          </w:p>
        </w:tc>
        <w:tc>
          <w:tcPr>
            <w:tcW w:w="2280" w:type="dxa"/>
            <w:gridSpan w:val="2"/>
            <w:tcBorders>
              <w:bottom w:val="single" w:color="auto" w:sz="4" w:space="0"/>
            </w:tcBorders>
            <w:noWrap w:val="0"/>
            <w:vAlign w:val="center"/>
          </w:tcPr>
          <w:p>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服务专业程度</w:t>
            </w:r>
          </w:p>
        </w:tc>
        <w:tc>
          <w:tcPr>
            <w:tcW w:w="4710" w:type="dxa"/>
            <w:gridSpan w:val="7"/>
            <w:tcBorders>
              <w:bottom w:val="single" w:color="auto" w:sz="4" w:space="0"/>
            </w:tcBorders>
            <w:noWrap w:val="0"/>
            <w:vAlign w:val="center"/>
          </w:tcPr>
          <w:p>
            <w:pPr>
              <w:rPr>
                <w:rFonts w:hint="eastAsia"/>
                <w:color w:val="000000" w:themeColor="text1"/>
                <w:sz w:val="24"/>
                <w:highlight w:val="none"/>
                <w14:textFill>
                  <w14:solidFill>
                    <w14:schemeClr w14:val="tx1"/>
                  </w14:solidFill>
                </w14:textFill>
              </w:rPr>
            </w:pPr>
          </w:p>
        </w:tc>
        <w:tc>
          <w:tcPr>
            <w:tcW w:w="679" w:type="dxa"/>
            <w:noWrap w:val="0"/>
            <w:vAlign w:val="center"/>
          </w:tcPr>
          <w:p>
            <w:pPr>
              <w:rPr>
                <w:rFonts w:hint="eastAsia"/>
                <w:color w:val="000000" w:themeColor="text1"/>
                <w:sz w:val="24"/>
                <w:highlight w:val="none"/>
                <w14:textFill>
                  <w14:solidFill>
                    <w14:schemeClr w14:val="tx1"/>
                  </w14:solidFill>
                </w14:textFill>
              </w:rPr>
            </w:pPr>
          </w:p>
        </w:tc>
        <w:tc>
          <w:tcPr>
            <w:tcW w:w="645" w:type="dxa"/>
            <w:noWrap w:val="0"/>
            <w:vAlign w:val="center"/>
          </w:tcPr>
          <w:p>
            <w:pPr>
              <w:rPr>
                <w:rFonts w:hint="eastAsia"/>
                <w:color w:val="000000" w:themeColor="text1"/>
                <w:sz w:val="24"/>
                <w:highlight w:val="none"/>
                <w14:textFill>
                  <w14:solidFill>
                    <w14:schemeClr w14:val="tx1"/>
                  </w14:solidFill>
                </w14:textFill>
              </w:rPr>
            </w:pPr>
          </w:p>
        </w:tc>
        <w:tc>
          <w:tcPr>
            <w:tcW w:w="585" w:type="dxa"/>
            <w:noWrap w:val="0"/>
            <w:vAlign w:val="center"/>
          </w:tcPr>
          <w:p>
            <w:pPr>
              <w:rPr>
                <w:rFonts w:hint="eastAsia"/>
                <w:color w:val="000000" w:themeColor="text1"/>
                <w:sz w:val="24"/>
                <w:highlight w:val="none"/>
                <w14:textFill>
                  <w14:solidFill>
                    <w14:schemeClr w14:val="tx1"/>
                  </w14:solidFill>
                </w14:textFill>
              </w:rPr>
            </w:pPr>
          </w:p>
        </w:tc>
        <w:tc>
          <w:tcPr>
            <w:tcW w:w="720" w:type="dxa"/>
            <w:noWrap w:val="0"/>
            <w:vAlign w:val="center"/>
          </w:tcPr>
          <w:p>
            <w:pPr>
              <w:rPr>
                <w:rFonts w:hint="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615" w:type="dxa"/>
            <w:tcBorders>
              <w:bottom w:val="single" w:color="auto" w:sz="4" w:space="0"/>
            </w:tcBorders>
            <w:noWrap w:val="0"/>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w:t>
            </w:r>
          </w:p>
        </w:tc>
        <w:tc>
          <w:tcPr>
            <w:tcW w:w="2280" w:type="dxa"/>
            <w:gridSpan w:val="2"/>
            <w:tcBorders>
              <w:bottom w:val="single" w:color="auto" w:sz="4" w:space="0"/>
            </w:tcBorders>
            <w:noWrap w:val="0"/>
            <w:vAlign w:val="center"/>
          </w:tcPr>
          <w:p>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供方工作记录</w:t>
            </w:r>
          </w:p>
        </w:tc>
        <w:tc>
          <w:tcPr>
            <w:tcW w:w="4710" w:type="dxa"/>
            <w:gridSpan w:val="7"/>
            <w:tcBorders>
              <w:bottom w:val="single" w:color="auto" w:sz="4" w:space="0"/>
            </w:tcBorders>
            <w:noWrap w:val="0"/>
            <w:vAlign w:val="center"/>
          </w:tcPr>
          <w:p>
            <w:pPr>
              <w:rPr>
                <w:rFonts w:hint="eastAsia"/>
                <w:color w:val="000000" w:themeColor="text1"/>
                <w:sz w:val="24"/>
                <w:highlight w:val="none"/>
                <w14:textFill>
                  <w14:solidFill>
                    <w14:schemeClr w14:val="tx1"/>
                  </w14:solidFill>
                </w14:textFill>
              </w:rPr>
            </w:pPr>
          </w:p>
        </w:tc>
        <w:tc>
          <w:tcPr>
            <w:tcW w:w="679" w:type="dxa"/>
            <w:noWrap w:val="0"/>
            <w:vAlign w:val="center"/>
          </w:tcPr>
          <w:p>
            <w:pPr>
              <w:rPr>
                <w:rFonts w:hint="eastAsia"/>
                <w:color w:val="000000" w:themeColor="text1"/>
                <w:sz w:val="24"/>
                <w:highlight w:val="none"/>
                <w14:textFill>
                  <w14:solidFill>
                    <w14:schemeClr w14:val="tx1"/>
                  </w14:solidFill>
                </w14:textFill>
              </w:rPr>
            </w:pPr>
          </w:p>
        </w:tc>
        <w:tc>
          <w:tcPr>
            <w:tcW w:w="645" w:type="dxa"/>
            <w:noWrap w:val="0"/>
            <w:vAlign w:val="center"/>
          </w:tcPr>
          <w:p>
            <w:pPr>
              <w:rPr>
                <w:rFonts w:hint="eastAsia"/>
                <w:color w:val="000000" w:themeColor="text1"/>
                <w:sz w:val="24"/>
                <w:highlight w:val="none"/>
                <w14:textFill>
                  <w14:solidFill>
                    <w14:schemeClr w14:val="tx1"/>
                  </w14:solidFill>
                </w14:textFill>
              </w:rPr>
            </w:pPr>
          </w:p>
        </w:tc>
        <w:tc>
          <w:tcPr>
            <w:tcW w:w="585" w:type="dxa"/>
            <w:noWrap w:val="0"/>
            <w:vAlign w:val="center"/>
          </w:tcPr>
          <w:p>
            <w:pPr>
              <w:rPr>
                <w:rFonts w:hint="eastAsia"/>
                <w:color w:val="000000" w:themeColor="text1"/>
                <w:sz w:val="24"/>
                <w:highlight w:val="none"/>
                <w14:textFill>
                  <w14:solidFill>
                    <w14:schemeClr w14:val="tx1"/>
                  </w14:solidFill>
                </w14:textFill>
              </w:rPr>
            </w:pPr>
          </w:p>
        </w:tc>
        <w:tc>
          <w:tcPr>
            <w:tcW w:w="720" w:type="dxa"/>
            <w:noWrap w:val="0"/>
            <w:vAlign w:val="center"/>
          </w:tcPr>
          <w:p>
            <w:pPr>
              <w:rPr>
                <w:rFonts w:hint="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615" w:type="dxa"/>
            <w:tcBorders>
              <w:bottom w:val="single" w:color="auto" w:sz="4" w:space="0"/>
            </w:tcBorders>
            <w:noWrap w:val="0"/>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w:t>
            </w:r>
          </w:p>
        </w:tc>
        <w:tc>
          <w:tcPr>
            <w:tcW w:w="2280" w:type="dxa"/>
            <w:gridSpan w:val="2"/>
            <w:tcBorders>
              <w:bottom w:val="single" w:color="auto" w:sz="4" w:space="0"/>
            </w:tcBorders>
            <w:noWrap w:val="0"/>
            <w:vAlign w:val="center"/>
          </w:tcPr>
          <w:p>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配合/服务及时性</w:t>
            </w:r>
          </w:p>
        </w:tc>
        <w:tc>
          <w:tcPr>
            <w:tcW w:w="4710" w:type="dxa"/>
            <w:gridSpan w:val="7"/>
            <w:tcBorders>
              <w:bottom w:val="single" w:color="auto" w:sz="4" w:space="0"/>
            </w:tcBorders>
            <w:noWrap w:val="0"/>
            <w:vAlign w:val="center"/>
          </w:tcPr>
          <w:p>
            <w:pPr>
              <w:rPr>
                <w:rFonts w:hint="eastAsia"/>
                <w:color w:val="000000" w:themeColor="text1"/>
                <w:sz w:val="24"/>
                <w:highlight w:val="none"/>
                <w14:textFill>
                  <w14:solidFill>
                    <w14:schemeClr w14:val="tx1"/>
                  </w14:solidFill>
                </w14:textFill>
              </w:rPr>
            </w:pPr>
          </w:p>
        </w:tc>
        <w:tc>
          <w:tcPr>
            <w:tcW w:w="679" w:type="dxa"/>
            <w:noWrap w:val="0"/>
            <w:vAlign w:val="center"/>
          </w:tcPr>
          <w:p>
            <w:pPr>
              <w:rPr>
                <w:rFonts w:hint="eastAsia"/>
                <w:color w:val="000000" w:themeColor="text1"/>
                <w:sz w:val="24"/>
                <w:highlight w:val="none"/>
                <w14:textFill>
                  <w14:solidFill>
                    <w14:schemeClr w14:val="tx1"/>
                  </w14:solidFill>
                </w14:textFill>
              </w:rPr>
            </w:pPr>
          </w:p>
        </w:tc>
        <w:tc>
          <w:tcPr>
            <w:tcW w:w="645" w:type="dxa"/>
            <w:noWrap w:val="0"/>
            <w:vAlign w:val="center"/>
          </w:tcPr>
          <w:p>
            <w:pPr>
              <w:rPr>
                <w:rFonts w:hint="eastAsia"/>
                <w:color w:val="000000" w:themeColor="text1"/>
                <w:sz w:val="24"/>
                <w:highlight w:val="none"/>
                <w14:textFill>
                  <w14:solidFill>
                    <w14:schemeClr w14:val="tx1"/>
                  </w14:solidFill>
                </w14:textFill>
              </w:rPr>
            </w:pPr>
          </w:p>
        </w:tc>
        <w:tc>
          <w:tcPr>
            <w:tcW w:w="585" w:type="dxa"/>
            <w:noWrap w:val="0"/>
            <w:vAlign w:val="center"/>
          </w:tcPr>
          <w:p>
            <w:pPr>
              <w:rPr>
                <w:rFonts w:hint="eastAsia"/>
                <w:color w:val="000000" w:themeColor="text1"/>
                <w:sz w:val="24"/>
                <w:highlight w:val="none"/>
                <w14:textFill>
                  <w14:solidFill>
                    <w14:schemeClr w14:val="tx1"/>
                  </w14:solidFill>
                </w14:textFill>
              </w:rPr>
            </w:pPr>
          </w:p>
        </w:tc>
        <w:tc>
          <w:tcPr>
            <w:tcW w:w="720" w:type="dxa"/>
            <w:noWrap w:val="0"/>
            <w:vAlign w:val="center"/>
          </w:tcPr>
          <w:p>
            <w:pPr>
              <w:rPr>
                <w:rFonts w:hint="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615" w:type="dxa"/>
            <w:tcBorders>
              <w:bottom w:val="single" w:color="auto" w:sz="4" w:space="0"/>
            </w:tcBorders>
            <w:noWrap w:val="0"/>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w:t>
            </w:r>
          </w:p>
        </w:tc>
        <w:tc>
          <w:tcPr>
            <w:tcW w:w="2280" w:type="dxa"/>
            <w:gridSpan w:val="2"/>
            <w:tcBorders>
              <w:bottom w:val="single" w:color="auto" w:sz="4" w:space="0"/>
            </w:tcBorders>
            <w:noWrap w:val="0"/>
            <w:vAlign w:val="center"/>
          </w:tcPr>
          <w:p>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职业安全</w:t>
            </w:r>
          </w:p>
        </w:tc>
        <w:tc>
          <w:tcPr>
            <w:tcW w:w="4710" w:type="dxa"/>
            <w:gridSpan w:val="7"/>
            <w:tcBorders>
              <w:bottom w:val="single" w:color="auto" w:sz="4" w:space="0"/>
            </w:tcBorders>
            <w:noWrap w:val="0"/>
            <w:vAlign w:val="center"/>
          </w:tcPr>
          <w:p>
            <w:pPr>
              <w:rPr>
                <w:rFonts w:hint="eastAsia"/>
                <w:color w:val="000000" w:themeColor="text1"/>
                <w:sz w:val="24"/>
                <w:highlight w:val="none"/>
                <w14:textFill>
                  <w14:solidFill>
                    <w14:schemeClr w14:val="tx1"/>
                  </w14:solidFill>
                </w14:textFill>
              </w:rPr>
            </w:pPr>
          </w:p>
        </w:tc>
        <w:tc>
          <w:tcPr>
            <w:tcW w:w="679" w:type="dxa"/>
            <w:noWrap w:val="0"/>
            <w:vAlign w:val="center"/>
          </w:tcPr>
          <w:p>
            <w:pPr>
              <w:rPr>
                <w:rFonts w:hint="eastAsia"/>
                <w:color w:val="000000" w:themeColor="text1"/>
                <w:sz w:val="24"/>
                <w:highlight w:val="none"/>
                <w14:textFill>
                  <w14:solidFill>
                    <w14:schemeClr w14:val="tx1"/>
                  </w14:solidFill>
                </w14:textFill>
              </w:rPr>
            </w:pPr>
          </w:p>
        </w:tc>
        <w:tc>
          <w:tcPr>
            <w:tcW w:w="645" w:type="dxa"/>
            <w:noWrap w:val="0"/>
            <w:vAlign w:val="center"/>
          </w:tcPr>
          <w:p>
            <w:pPr>
              <w:rPr>
                <w:rFonts w:hint="eastAsia"/>
                <w:color w:val="000000" w:themeColor="text1"/>
                <w:sz w:val="24"/>
                <w:highlight w:val="none"/>
                <w14:textFill>
                  <w14:solidFill>
                    <w14:schemeClr w14:val="tx1"/>
                  </w14:solidFill>
                </w14:textFill>
              </w:rPr>
            </w:pPr>
          </w:p>
        </w:tc>
        <w:tc>
          <w:tcPr>
            <w:tcW w:w="585" w:type="dxa"/>
            <w:noWrap w:val="0"/>
            <w:vAlign w:val="center"/>
          </w:tcPr>
          <w:p>
            <w:pPr>
              <w:rPr>
                <w:rFonts w:hint="eastAsia"/>
                <w:color w:val="000000" w:themeColor="text1"/>
                <w:sz w:val="24"/>
                <w:highlight w:val="none"/>
                <w14:textFill>
                  <w14:solidFill>
                    <w14:schemeClr w14:val="tx1"/>
                  </w14:solidFill>
                </w14:textFill>
              </w:rPr>
            </w:pPr>
          </w:p>
        </w:tc>
        <w:tc>
          <w:tcPr>
            <w:tcW w:w="720" w:type="dxa"/>
            <w:noWrap w:val="0"/>
            <w:vAlign w:val="center"/>
          </w:tcPr>
          <w:p>
            <w:pPr>
              <w:rPr>
                <w:rFonts w:hint="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615" w:type="dxa"/>
            <w:tcBorders>
              <w:bottom w:val="single" w:color="auto" w:sz="4" w:space="0"/>
            </w:tcBorders>
            <w:noWrap w:val="0"/>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w:t>
            </w:r>
          </w:p>
        </w:tc>
        <w:tc>
          <w:tcPr>
            <w:tcW w:w="2280" w:type="dxa"/>
            <w:gridSpan w:val="2"/>
            <w:tcBorders>
              <w:bottom w:val="single" w:color="auto" w:sz="4" w:space="0"/>
            </w:tcBorders>
            <w:noWrap w:val="0"/>
            <w:vAlign w:val="center"/>
          </w:tcPr>
          <w:p>
            <w:pP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客户表扬及投诉</w:t>
            </w:r>
          </w:p>
        </w:tc>
        <w:tc>
          <w:tcPr>
            <w:tcW w:w="4710" w:type="dxa"/>
            <w:gridSpan w:val="7"/>
            <w:tcBorders>
              <w:bottom w:val="single" w:color="auto" w:sz="4" w:space="0"/>
            </w:tcBorders>
            <w:noWrap w:val="0"/>
            <w:vAlign w:val="center"/>
          </w:tcPr>
          <w:p>
            <w:pPr>
              <w:rPr>
                <w:rFonts w:hint="eastAsia"/>
                <w:color w:val="000000" w:themeColor="text1"/>
                <w:sz w:val="24"/>
                <w:highlight w:val="none"/>
                <w14:textFill>
                  <w14:solidFill>
                    <w14:schemeClr w14:val="tx1"/>
                  </w14:solidFill>
                </w14:textFill>
              </w:rPr>
            </w:pPr>
          </w:p>
        </w:tc>
        <w:tc>
          <w:tcPr>
            <w:tcW w:w="679" w:type="dxa"/>
            <w:noWrap w:val="0"/>
            <w:vAlign w:val="center"/>
          </w:tcPr>
          <w:p>
            <w:pPr>
              <w:rPr>
                <w:rFonts w:hint="eastAsia"/>
                <w:color w:val="000000" w:themeColor="text1"/>
                <w:sz w:val="24"/>
                <w:highlight w:val="none"/>
                <w14:textFill>
                  <w14:solidFill>
                    <w14:schemeClr w14:val="tx1"/>
                  </w14:solidFill>
                </w14:textFill>
              </w:rPr>
            </w:pPr>
          </w:p>
        </w:tc>
        <w:tc>
          <w:tcPr>
            <w:tcW w:w="645" w:type="dxa"/>
            <w:noWrap w:val="0"/>
            <w:vAlign w:val="center"/>
          </w:tcPr>
          <w:p>
            <w:pPr>
              <w:rPr>
                <w:rFonts w:hint="eastAsia"/>
                <w:color w:val="000000" w:themeColor="text1"/>
                <w:sz w:val="24"/>
                <w:highlight w:val="none"/>
                <w14:textFill>
                  <w14:solidFill>
                    <w14:schemeClr w14:val="tx1"/>
                  </w14:solidFill>
                </w14:textFill>
              </w:rPr>
            </w:pPr>
          </w:p>
        </w:tc>
        <w:tc>
          <w:tcPr>
            <w:tcW w:w="585" w:type="dxa"/>
            <w:noWrap w:val="0"/>
            <w:vAlign w:val="center"/>
          </w:tcPr>
          <w:p>
            <w:pPr>
              <w:rPr>
                <w:rFonts w:hint="eastAsia"/>
                <w:color w:val="000000" w:themeColor="text1"/>
                <w:sz w:val="24"/>
                <w:highlight w:val="none"/>
                <w14:textFill>
                  <w14:solidFill>
                    <w14:schemeClr w14:val="tx1"/>
                  </w14:solidFill>
                </w14:textFill>
              </w:rPr>
            </w:pPr>
          </w:p>
        </w:tc>
        <w:tc>
          <w:tcPr>
            <w:tcW w:w="720" w:type="dxa"/>
            <w:noWrap w:val="0"/>
            <w:vAlign w:val="center"/>
          </w:tcPr>
          <w:p>
            <w:pPr>
              <w:rPr>
                <w:rFonts w:hint="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7605" w:type="dxa"/>
            <w:gridSpan w:val="10"/>
            <w:noWrap w:val="0"/>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总　分</w:t>
            </w:r>
          </w:p>
        </w:tc>
        <w:tc>
          <w:tcPr>
            <w:tcW w:w="2629" w:type="dxa"/>
            <w:gridSpan w:val="4"/>
            <w:noWrap w:val="0"/>
            <w:vAlign w:val="center"/>
          </w:tcPr>
          <w:p>
            <w:pPr>
              <w:rPr>
                <w:rFonts w:hint="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395" w:type="dxa"/>
            <w:gridSpan w:val="2"/>
            <w:vMerge w:val="restart"/>
            <w:noWrap w:val="0"/>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合同违约扣款说明</w:t>
            </w:r>
          </w:p>
        </w:tc>
        <w:tc>
          <w:tcPr>
            <w:tcW w:w="4894" w:type="dxa"/>
            <w:gridSpan w:val="5"/>
            <w:tcBorders>
              <w:bottom w:val="single" w:color="auto" w:sz="4" w:space="0"/>
            </w:tcBorders>
            <w:noWrap w:val="0"/>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违约事实</w:t>
            </w:r>
          </w:p>
        </w:tc>
        <w:tc>
          <w:tcPr>
            <w:tcW w:w="1995" w:type="dxa"/>
            <w:gridSpan w:val="4"/>
            <w:tcBorders>
              <w:bottom w:val="single" w:color="auto" w:sz="4" w:space="0"/>
            </w:tcBorders>
            <w:noWrap w:val="0"/>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合同条款</w:t>
            </w:r>
          </w:p>
        </w:tc>
        <w:tc>
          <w:tcPr>
            <w:tcW w:w="1950" w:type="dxa"/>
            <w:gridSpan w:val="3"/>
            <w:noWrap w:val="0"/>
            <w:vAlign w:val="center"/>
          </w:tcPr>
          <w:p>
            <w:pPr>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扣款金额（元）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395" w:type="dxa"/>
            <w:gridSpan w:val="2"/>
            <w:vMerge w:val="continue"/>
            <w:noWrap w:val="0"/>
            <w:vAlign w:val="center"/>
          </w:tcPr>
          <w:p>
            <w:pPr>
              <w:jc w:val="center"/>
              <w:rPr>
                <w:rFonts w:hint="eastAsia"/>
                <w:color w:val="000000" w:themeColor="text1"/>
                <w:sz w:val="24"/>
                <w:highlight w:val="none"/>
                <w14:textFill>
                  <w14:solidFill>
                    <w14:schemeClr w14:val="tx1"/>
                  </w14:solidFill>
                </w14:textFill>
              </w:rPr>
            </w:pPr>
          </w:p>
        </w:tc>
        <w:tc>
          <w:tcPr>
            <w:tcW w:w="4894" w:type="dxa"/>
            <w:gridSpan w:val="5"/>
            <w:tcBorders>
              <w:bottom w:val="single" w:color="auto" w:sz="4" w:space="0"/>
            </w:tcBorders>
            <w:noWrap w:val="0"/>
            <w:vAlign w:val="center"/>
          </w:tcPr>
          <w:p>
            <w:pPr>
              <w:jc w:val="center"/>
              <w:rPr>
                <w:rFonts w:hint="eastAsia"/>
                <w:color w:val="000000" w:themeColor="text1"/>
                <w:sz w:val="24"/>
                <w:highlight w:val="none"/>
                <w14:textFill>
                  <w14:solidFill>
                    <w14:schemeClr w14:val="tx1"/>
                  </w14:solidFill>
                </w14:textFill>
              </w:rPr>
            </w:pPr>
          </w:p>
        </w:tc>
        <w:tc>
          <w:tcPr>
            <w:tcW w:w="1995" w:type="dxa"/>
            <w:gridSpan w:val="4"/>
            <w:tcBorders>
              <w:bottom w:val="single" w:color="auto" w:sz="4" w:space="0"/>
            </w:tcBorders>
            <w:noWrap w:val="0"/>
            <w:vAlign w:val="center"/>
          </w:tcPr>
          <w:p>
            <w:pPr>
              <w:jc w:val="center"/>
              <w:rPr>
                <w:rFonts w:hint="eastAsia"/>
                <w:color w:val="000000" w:themeColor="text1"/>
                <w:sz w:val="24"/>
                <w:highlight w:val="none"/>
                <w14:textFill>
                  <w14:solidFill>
                    <w14:schemeClr w14:val="tx1"/>
                  </w14:solidFill>
                </w14:textFill>
              </w:rPr>
            </w:pPr>
          </w:p>
        </w:tc>
        <w:tc>
          <w:tcPr>
            <w:tcW w:w="1950" w:type="dxa"/>
            <w:gridSpan w:val="3"/>
            <w:noWrap w:val="0"/>
            <w:vAlign w:val="center"/>
          </w:tcPr>
          <w:p>
            <w:pPr>
              <w:jc w:val="center"/>
              <w:rPr>
                <w:rFonts w:hint="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395" w:type="dxa"/>
            <w:gridSpan w:val="2"/>
            <w:vMerge w:val="continue"/>
            <w:noWrap w:val="0"/>
            <w:vAlign w:val="center"/>
          </w:tcPr>
          <w:p>
            <w:pPr>
              <w:jc w:val="center"/>
              <w:rPr>
                <w:rFonts w:hint="eastAsia"/>
                <w:color w:val="000000" w:themeColor="text1"/>
                <w:sz w:val="24"/>
                <w:highlight w:val="none"/>
                <w14:textFill>
                  <w14:solidFill>
                    <w14:schemeClr w14:val="tx1"/>
                  </w14:solidFill>
                </w14:textFill>
              </w:rPr>
            </w:pPr>
          </w:p>
        </w:tc>
        <w:tc>
          <w:tcPr>
            <w:tcW w:w="4894" w:type="dxa"/>
            <w:gridSpan w:val="5"/>
            <w:tcBorders>
              <w:bottom w:val="single" w:color="auto" w:sz="4" w:space="0"/>
            </w:tcBorders>
            <w:noWrap w:val="0"/>
            <w:vAlign w:val="center"/>
          </w:tcPr>
          <w:p>
            <w:pPr>
              <w:jc w:val="center"/>
              <w:rPr>
                <w:rFonts w:hint="eastAsia"/>
                <w:color w:val="000000" w:themeColor="text1"/>
                <w:sz w:val="24"/>
                <w:highlight w:val="none"/>
                <w14:textFill>
                  <w14:solidFill>
                    <w14:schemeClr w14:val="tx1"/>
                  </w14:solidFill>
                </w14:textFill>
              </w:rPr>
            </w:pPr>
          </w:p>
        </w:tc>
        <w:tc>
          <w:tcPr>
            <w:tcW w:w="1995" w:type="dxa"/>
            <w:gridSpan w:val="4"/>
            <w:tcBorders>
              <w:bottom w:val="single" w:color="auto" w:sz="4" w:space="0"/>
            </w:tcBorders>
            <w:noWrap w:val="0"/>
            <w:vAlign w:val="center"/>
          </w:tcPr>
          <w:p>
            <w:pPr>
              <w:jc w:val="center"/>
              <w:rPr>
                <w:rFonts w:hint="eastAsia"/>
                <w:color w:val="000000" w:themeColor="text1"/>
                <w:sz w:val="24"/>
                <w:highlight w:val="none"/>
                <w14:textFill>
                  <w14:solidFill>
                    <w14:schemeClr w14:val="tx1"/>
                  </w14:solidFill>
                </w14:textFill>
              </w:rPr>
            </w:pPr>
          </w:p>
        </w:tc>
        <w:tc>
          <w:tcPr>
            <w:tcW w:w="1950" w:type="dxa"/>
            <w:gridSpan w:val="3"/>
            <w:noWrap w:val="0"/>
            <w:vAlign w:val="center"/>
          </w:tcPr>
          <w:p>
            <w:pPr>
              <w:jc w:val="center"/>
              <w:rPr>
                <w:rFonts w:hint="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395" w:type="dxa"/>
            <w:gridSpan w:val="2"/>
            <w:vMerge w:val="continue"/>
            <w:tcBorders>
              <w:bottom w:val="single" w:color="auto" w:sz="4" w:space="0"/>
            </w:tcBorders>
            <w:noWrap w:val="0"/>
            <w:vAlign w:val="center"/>
          </w:tcPr>
          <w:p>
            <w:pPr>
              <w:jc w:val="center"/>
              <w:rPr>
                <w:rFonts w:hint="eastAsia"/>
                <w:color w:val="000000" w:themeColor="text1"/>
                <w:sz w:val="24"/>
                <w:highlight w:val="none"/>
                <w14:textFill>
                  <w14:solidFill>
                    <w14:schemeClr w14:val="tx1"/>
                  </w14:solidFill>
                </w14:textFill>
              </w:rPr>
            </w:pPr>
          </w:p>
        </w:tc>
        <w:tc>
          <w:tcPr>
            <w:tcW w:w="4894" w:type="dxa"/>
            <w:gridSpan w:val="5"/>
            <w:tcBorders>
              <w:bottom w:val="single" w:color="auto" w:sz="4" w:space="0"/>
            </w:tcBorders>
            <w:noWrap w:val="0"/>
            <w:vAlign w:val="center"/>
          </w:tcPr>
          <w:p>
            <w:pPr>
              <w:jc w:val="center"/>
              <w:rPr>
                <w:rFonts w:hint="eastAsia"/>
                <w:color w:val="000000" w:themeColor="text1"/>
                <w:sz w:val="24"/>
                <w:highlight w:val="none"/>
                <w14:textFill>
                  <w14:solidFill>
                    <w14:schemeClr w14:val="tx1"/>
                  </w14:solidFill>
                </w14:textFill>
              </w:rPr>
            </w:pPr>
          </w:p>
        </w:tc>
        <w:tc>
          <w:tcPr>
            <w:tcW w:w="1995" w:type="dxa"/>
            <w:gridSpan w:val="4"/>
            <w:tcBorders>
              <w:bottom w:val="single" w:color="auto" w:sz="4" w:space="0"/>
            </w:tcBorders>
            <w:noWrap w:val="0"/>
            <w:vAlign w:val="center"/>
          </w:tcPr>
          <w:p>
            <w:pPr>
              <w:jc w:val="center"/>
              <w:rPr>
                <w:rFonts w:hint="eastAsia"/>
                <w:color w:val="000000" w:themeColor="text1"/>
                <w:sz w:val="24"/>
                <w:highlight w:val="none"/>
                <w14:textFill>
                  <w14:solidFill>
                    <w14:schemeClr w14:val="tx1"/>
                  </w14:solidFill>
                </w14:textFill>
              </w:rPr>
            </w:pPr>
          </w:p>
        </w:tc>
        <w:tc>
          <w:tcPr>
            <w:tcW w:w="1950" w:type="dxa"/>
            <w:gridSpan w:val="3"/>
            <w:noWrap w:val="0"/>
            <w:vAlign w:val="center"/>
          </w:tcPr>
          <w:p>
            <w:pPr>
              <w:jc w:val="center"/>
              <w:rPr>
                <w:rFonts w:hint="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1395" w:type="dxa"/>
            <w:gridSpan w:val="2"/>
            <w:noWrap w:val="0"/>
            <w:vAlign w:val="center"/>
          </w:tcPr>
          <w:p>
            <w:pPr>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乙方代表签字</w:t>
            </w:r>
          </w:p>
        </w:tc>
        <w:tc>
          <w:tcPr>
            <w:tcW w:w="1960" w:type="dxa"/>
            <w:gridSpan w:val="2"/>
            <w:noWrap w:val="0"/>
            <w:vAlign w:val="center"/>
          </w:tcPr>
          <w:p>
            <w:pPr>
              <w:rPr>
                <w:rFonts w:hint="eastAsia"/>
                <w:color w:val="000000" w:themeColor="text1"/>
                <w:sz w:val="24"/>
                <w:highlight w:val="none"/>
                <w14:textFill>
                  <w14:solidFill>
                    <w14:schemeClr w14:val="tx1"/>
                  </w14:solidFill>
                </w14:textFill>
              </w:rPr>
            </w:pPr>
          </w:p>
        </w:tc>
        <w:tc>
          <w:tcPr>
            <w:tcW w:w="1185" w:type="dxa"/>
            <w:noWrap w:val="0"/>
            <w:vAlign w:val="center"/>
          </w:tcPr>
          <w:p>
            <w:pPr>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技术保障经理签字</w:t>
            </w:r>
          </w:p>
        </w:tc>
        <w:tc>
          <w:tcPr>
            <w:tcW w:w="2520" w:type="dxa"/>
            <w:gridSpan w:val="3"/>
            <w:noWrap w:val="0"/>
            <w:vAlign w:val="center"/>
          </w:tcPr>
          <w:p>
            <w:pPr>
              <w:rPr>
                <w:rFonts w:hint="eastAsia"/>
                <w:color w:val="000000" w:themeColor="text1"/>
                <w:sz w:val="24"/>
                <w:highlight w:val="none"/>
                <w14:textFill>
                  <w14:solidFill>
                    <w14:schemeClr w14:val="tx1"/>
                  </w14:solidFill>
                </w14:textFill>
              </w:rPr>
            </w:pPr>
          </w:p>
        </w:tc>
        <w:tc>
          <w:tcPr>
            <w:tcW w:w="1224" w:type="dxa"/>
            <w:gridSpan w:val="3"/>
            <w:noWrap w:val="0"/>
            <w:vAlign w:val="center"/>
          </w:tcPr>
          <w:p>
            <w:pPr>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工程安全部负责人签字</w:t>
            </w:r>
          </w:p>
        </w:tc>
        <w:tc>
          <w:tcPr>
            <w:tcW w:w="1950" w:type="dxa"/>
            <w:gridSpan w:val="3"/>
            <w:noWrap w:val="0"/>
            <w:vAlign w:val="center"/>
          </w:tcPr>
          <w:p>
            <w:pPr>
              <w:rPr>
                <w:rFonts w:hint="eastAsia"/>
                <w:color w:val="000000" w:themeColor="text1"/>
                <w:sz w:val="24"/>
                <w:highlight w:val="none"/>
                <w14:textFill>
                  <w14:solidFill>
                    <w14:schemeClr w14:val="tx1"/>
                  </w14:solidFill>
                </w14:textFill>
              </w:rPr>
            </w:pPr>
          </w:p>
        </w:tc>
      </w:tr>
    </w:tbl>
    <w:p>
      <w:pPr>
        <w:tabs>
          <w:tab w:val="left" w:pos="3645"/>
        </w:tabs>
        <w:spacing w:line="360" w:lineRule="auto"/>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ascii="宋体" w:hAnsi="宋体"/>
          <w:color w:val="000000" w:themeColor="text1"/>
          <w:sz w:val="24"/>
          <w:highlight w:val="none"/>
          <w14:textFill>
            <w14:solidFill>
              <w14:schemeClr w14:val="tx1"/>
            </w14:solidFill>
          </w14:textFill>
        </w:rPr>
        <w:tab/>
      </w:r>
    </w:p>
    <w:p>
      <w:pPr>
        <w:pStyle w:val="32"/>
        <w:spacing w:line="360" w:lineRule="auto"/>
        <w:ind w:left="0" w:firstLine="0"/>
        <w:jc w:val="left"/>
        <w:rPr>
          <w:rFonts w:hint="eastAsia" w:ascii="仿宋" w:hAnsi="仿宋" w:eastAsia="仿宋" w:cs="仿宋"/>
          <w:b w:val="0"/>
          <w:bCs w:val="0"/>
          <w:i w:val="0"/>
          <w:iCs w:val="0"/>
          <w:color w:val="000000" w:themeColor="text1"/>
          <w:spacing w:val="0"/>
          <w:sz w:val="32"/>
          <w:szCs w:val="32"/>
          <w:highlight w:val="none"/>
          <w:lang w:val="en-US" w:eastAsia="zh-CN"/>
          <w14:textFill>
            <w14:solidFill>
              <w14:schemeClr w14:val="tx1"/>
            </w14:solidFill>
          </w14:textFill>
        </w:rPr>
      </w:pPr>
      <w:bookmarkStart w:id="174" w:name="_Toc10955"/>
      <w:r>
        <w:rPr>
          <w:rFonts w:hint="eastAsia" w:ascii="仿宋" w:hAnsi="仿宋" w:eastAsia="仿宋" w:cs="仿宋"/>
          <w:b w:val="0"/>
          <w:bCs w:val="0"/>
          <w:i w:val="0"/>
          <w:iCs w:val="0"/>
          <w:color w:val="000000" w:themeColor="text1"/>
          <w:spacing w:val="0"/>
          <w:sz w:val="32"/>
          <w:szCs w:val="32"/>
          <w:highlight w:val="none"/>
          <w:lang w:val="en-US" w:eastAsia="zh-CN"/>
          <w14:textFill>
            <w14:solidFill>
              <w14:schemeClr w14:val="tx1"/>
            </w14:solidFill>
          </w14:textFill>
        </w:rPr>
        <w:t>附件4：</w:t>
      </w:r>
      <w:bookmarkEnd w:id="174"/>
      <w:r>
        <w:rPr>
          <w:rFonts w:hint="eastAsia" w:ascii="仿宋" w:hAnsi="仿宋" w:eastAsia="仿宋" w:cs="仿宋"/>
          <w:b w:val="0"/>
          <w:bCs w:val="0"/>
          <w:i w:val="0"/>
          <w:iCs w:val="0"/>
          <w:color w:val="000000" w:themeColor="text1"/>
          <w:spacing w:val="0"/>
          <w:sz w:val="32"/>
          <w:szCs w:val="32"/>
          <w:highlight w:val="none"/>
          <w:lang w:val="en-US" w:eastAsia="zh-CN"/>
          <w14:textFill>
            <w14:solidFill>
              <w14:schemeClr w14:val="tx1"/>
            </w14:solidFill>
          </w14:textFill>
        </w:rPr>
        <w:t xml:space="preserve">   </w:t>
      </w:r>
    </w:p>
    <w:p>
      <w:pPr>
        <w:tabs>
          <w:tab w:val="left" w:pos="540"/>
        </w:tabs>
        <w:snapToGrid w:val="0"/>
        <w:spacing w:line="360" w:lineRule="auto"/>
        <w:ind w:left="210" w:leftChars="0" w:right="840"/>
        <w:jc w:val="center"/>
        <w:rPr>
          <w:rFonts w:hint="default" w:ascii="宋体" w:hAnsi="宋体" w:eastAsia="宋体" w:cs="仿宋"/>
          <w:b/>
          <w:color w:val="000000" w:themeColor="text1"/>
          <w:sz w:val="28"/>
          <w:szCs w:val="24"/>
          <w:highlight w:val="none"/>
          <w:lang w:eastAsia="zh-CN"/>
          <w14:textFill>
            <w14:solidFill>
              <w14:schemeClr w14:val="tx1"/>
            </w14:solidFill>
          </w14:textFill>
        </w:rPr>
      </w:pPr>
      <w:r>
        <w:rPr>
          <w:rFonts w:hint="default" w:ascii="宋体" w:hAnsi="宋体" w:eastAsia="宋体" w:cs="仿宋"/>
          <w:b/>
          <w:color w:val="000000" w:themeColor="text1"/>
          <w:sz w:val="28"/>
          <w:szCs w:val="24"/>
          <w:highlight w:val="none"/>
          <w:lang w:eastAsia="zh-CN"/>
          <w14:textFill>
            <w14:solidFill>
              <w14:schemeClr w14:val="tx1"/>
            </w14:solidFill>
          </w14:textFill>
        </w:rPr>
        <w:t>安全生产协议书</w:t>
      </w:r>
    </w:p>
    <w:p>
      <w:pPr>
        <w:numPr>
          <w:ilvl w:val="0"/>
          <w:numId w:val="0"/>
        </w:numPr>
        <w:adjustRightInd w:val="0"/>
        <w:snapToGrid w:val="0"/>
        <w:spacing w:line="360" w:lineRule="auto"/>
        <w:ind w:left="425" w:firstLine="480" w:firstLineChars="200"/>
        <w:rPr>
          <w:rFonts w:ascii="宋体" w:hAnsi="宋体" w:eastAsia="宋体" w:cs="仿宋"/>
          <w:bCs/>
          <w:color w:val="000000" w:themeColor="text1"/>
          <w:spacing w:val="0"/>
          <w:sz w:val="24"/>
          <w:szCs w:val="24"/>
          <w:highlight w:val="none"/>
          <w:lang w:eastAsia="zh-CN"/>
          <w14:textFill>
            <w14:solidFill>
              <w14:schemeClr w14:val="tx1"/>
            </w14:solidFill>
          </w14:textFill>
        </w:rPr>
      </w:pPr>
      <w:r>
        <w:rPr>
          <w:rFonts w:hint="default" w:ascii="宋体" w:hAnsi="宋体" w:eastAsia="宋体" w:cs="仿宋"/>
          <w:bCs/>
          <w:color w:val="000000" w:themeColor="text1"/>
          <w:spacing w:val="0"/>
          <w:sz w:val="24"/>
          <w:szCs w:val="24"/>
          <w:highlight w:val="none"/>
          <w:lang w:eastAsia="zh-CN"/>
          <w14:textFill>
            <w14:solidFill>
              <w14:schemeClr w14:val="tx1"/>
            </w14:solidFill>
          </w14:textFill>
        </w:rPr>
        <w:t>为加强安全生产管理工作落实到位，依照《中华人民共和国安全生产法》的有关规定，</w:t>
      </w:r>
      <w:r>
        <w:rPr>
          <w:rFonts w:hint="default" w:ascii="宋体" w:hAnsi="宋体" w:eastAsia="宋体" w:cs="仿宋"/>
          <w:bCs/>
          <w:color w:val="000000" w:themeColor="text1"/>
          <w:sz w:val="24"/>
          <w:szCs w:val="24"/>
          <w:highlight w:val="none"/>
          <w:lang w:eastAsia="zh-CN"/>
          <w14:textFill>
            <w14:solidFill>
              <w14:schemeClr w14:val="tx1"/>
            </w14:solidFill>
          </w14:textFill>
        </w:rPr>
        <w:t>坚持“安全第一、预防为主、综合治理”的方针，确保现场安全、有序经营，</w:t>
      </w:r>
      <w:r>
        <w:rPr>
          <w:rFonts w:hint="default" w:ascii="宋体" w:hAnsi="宋体" w:eastAsia="宋体" w:cs="仿宋"/>
          <w:bCs/>
          <w:color w:val="000000" w:themeColor="text1"/>
          <w:spacing w:val="0"/>
          <w:sz w:val="24"/>
          <w:szCs w:val="24"/>
          <w:highlight w:val="none"/>
          <w:lang w:eastAsia="zh-CN"/>
          <w14:textFill>
            <w14:solidFill>
              <w14:schemeClr w14:val="tx1"/>
            </w14:solidFill>
          </w14:textFill>
        </w:rPr>
        <w:t>就本合同安装施工期间安全生产管理事宜，双方签订如下安全生产协议。</w:t>
      </w:r>
    </w:p>
    <w:p>
      <w:pPr>
        <w:numPr>
          <w:ilvl w:val="0"/>
          <w:numId w:val="0"/>
        </w:numPr>
        <w:adjustRightInd w:val="0"/>
        <w:snapToGrid w:val="0"/>
        <w:spacing w:line="360" w:lineRule="auto"/>
        <w:ind w:left="425" w:leftChars="0"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eastAsia" w:ascii="宋体" w:hAnsi="宋体" w:cs="仿宋"/>
          <w:bCs/>
          <w:color w:val="000000" w:themeColor="text1"/>
          <w:sz w:val="24"/>
          <w:szCs w:val="24"/>
          <w:highlight w:val="none"/>
          <w:lang w:val="en-US" w:eastAsia="zh-CN"/>
          <w14:textFill>
            <w14:solidFill>
              <w14:schemeClr w14:val="tx1"/>
            </w14:solidFill>
          </w14:textFill>
        </w:rPr>
        <w:t>一、</w:t>
      </w:r>
      <w:r>
        <w:rPr>
          <w:rFonts w:hint="default" w:ascii="宋体" w:hAnsi="宋体" w:eastAsia="宋体" w:cs="仿宋"/>
          <w:bCs/>
          <w:color w:val="000000" w:themeColor="text1"/>
          <w:sz w:val="24"/>
          <w:szCs w:val="24"/>
          <w:highlight w:val="none"/>
          <w:lang w:eastAsia="zh-CN"/>
          <w14:textFill>
            <w14:solidFill>
              <w14:schemeClr w14:val="tx1"/>
            </w14:solidFill>
          </w14:textFill>
        </w:rPr>
        <w:t>甲方(</w:t>
      </w:r>
      <w:r>
        <w:rPr>
          <w:rFonts w:hint="eastAsia" w:ascii="宋体" w:hAnsi="宋体" w:cs="仿宋"/>
          <w:bCs/>
          <w:color w:val="000000" w:themeColor="text1"/>
          <w:sz w:val="24"/>
          <w:szCs w:val="24"/>
          <w:highlight w:val="none"/>
          <w:u w:val="none"/>
          <w:lang w:val="en-US" w:eastAsia="zh-CN"/>
          <w14:textFill>
            <w14:solidFill>
              <w14:schemeClr w14:val="tx1"/>
            </w14:solidFill>
          </w14:textFill>
        </w:rPr>
        <w:t>展服智慧厦门物业服务有限公司</w:t>
      </w:r>
      <w:r>
        <w:rPr>
          <w:rFonts w:hint="default" w:ascii="宋体" w:hAnsi="宋体" w:eastAsia="宋体" w:cs="仿宋"/>
          <w:bCs/>
          <w:color w:val="000000" w:themeColor="text1"/>
          <w:sz w:val="24"/>
          <w:szCs w:val="24"/>
          <w:highlight w:val="none"/>
          <w:u w:val="none"/>
          <w:lang w:eastAsia="zh-CN"/>
          <w14:textFill>
            <w14:solidFill>
              <w14:schemeClr w14:val="tx1"/>
            </w14:solidFill>
          </w14:textFill>
        </w:rPr>
        <w:t>)</w:t>
      </w:r>
      <w:r>
        <w:rPr>
          <w:rFonts w:hint="default" w:ascii="宋体" w:hAnsi="宋体" w:eastAsia="宋体" w:cs="仿宋"/>
          <w:bCs/>
          <w:color w:val="000000" w:themeColor="text1"/>
          <w:sz w:val="24"/>
          <w:szCs w:val="24"/>
          <w:highlight w:val="none"/>
          <w:lang w:eastAsia="zh-CN"/>
          <w14:textFill>
            <w14:solidFill>
              <w14:schemeClr w14:val="tx1"/>
            </w14:solidFill>
          </w14:textFill>
        </w:rPr>
        <w:t>的职责</w:t>
      </w:r>
    </w:p>
    <w:p>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 xml:space="preserve">甲方对乙方的安全生产、消防安全、用电安全等工作进行监督检查，对项目范围内的安全管理工作统一协调。 </w:t>
      </w:r>
    </w:p>
    <w:p>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 xml:space="preserve">甲方对上级单位或政府等相关部门检查发现的隐患或不安全因素，按照要求落实整改或督促乙方进行整改。 </w:t>
      </w:r>
    </w:p>
    <w:p>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 xml:space="preserve">甲方定期组织安全生产检查，发现乙方在安全生产、消防安全、用电安全等方面存在隐患时，及时督促乙方整改。 </w:t>
      </w:r>
    </w:p>
    <w:p>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甲方应积极配合乙方开展用电安全教育知识培训，做好项目的用电安全工作，定期组织用电安全知识教育等，提高安全意识和应急处理能力，保护项目的财产和员工的人身安全。</w:t>
      </w:r>
    </w:p>
    <w:p>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甲方应确保提供的设施、设备符合国家安全生产标准，无安全隐患。</w:t>
      </w:r>
    </w:p>
    <w:p>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甲方发现乙方有违纪行为、违章操作、冒险作业等安全生产违法行为，当场予以纠正或要求限期改正，进行警告、罚款等处罚行为。遇有危险紧急情况时，甲方可令乙方立即停止作业。</w:t>
      </w:r>
    </w:p>
    <w:p>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eastAsia" w:ascii="宋体" w:hAnsi="宋体" w:cs="仿宋"/>
          <w:bCs/>
          <w:color w:val="000000" w:themeColor="text1"/>
          <w:sz w:val="24"/>
          <w:szCs w:val="24"/>
          <w:highlight w:val="none"/>
          <w:lang w:val="en-US" w:eastAsia="zh-CN"/>
          <w14:textFill>
            <w14:solidFill>
              <w14:schemeClr w14:val="tx1"/>
            </w14:solidFill>
          </w14:textFill>
        </w:rPr>
        <w:t>二、</w:t>
      </w:r>
      <w:r>
        <w:rPr>
          <w:rFonts w:hint="default" w:ascii="宋体" w:hAnsi="宋体" w:eastAsia="宋体" w:cs="仿宋"/>
          <w:bCs/>
          <w:color w:val="000000" w:themeColor="text1"/>
          <w:sz w:val="24"/>
          <w:szCs w:val="24"/>
          <w:highlight w:val="none"/>
          <w:lang w:eastAsia="zh-CN"/>
          <w14:textFill>
            <w14:solidFill>
              <w14:schemeClr w14:val="tx1"/>
            </w14:solidFill>
          </w14:textFill>
        </w:rPr>
        <w:t>乙方</w:t>
      </w:r>
      <w:r>
        <w:rPr>
          <w:rFonts w:hint="default" w:ascii="宋体" w:hAnsi="宋体" w:eastAsia="宋体" w:cs="仿宋"/>
          <w:bCs/>
          <w:color w:val="000000" w:themeColor="text1"/>
          <w:sz w:val="24"/>
          <w:szCs w:val="24"/>
          <w:highlight w:val="none"/>
          <w:u w:val="none"/>
          <w:lang w:eastAsia="zh-CN"/>
          <w14:textFill>
            <w14:solidFill>
              <w14:schemeClr w14:val="tx1"/>
            </w14:solidFill>
          </w14:textFill>
        </w:rPr>
        <w:t>(</w:t>
      </w:r>
      <w:r>
        <w:rPr>
          <w:rFonts w:hint="default" w:ascii="宋体" w:hAnsi="宋体" w:eastAsia="宋体" w:cs="仿宋"/>
          <w:bCs/>
          <w:color w:val="000000" w:themeColor="text1"/>
          <w:sz w:val="24"/>
          <w:szCs w:val="24"/>
          <w:highlight w:val="none"/>
          <w:u w:val="none"/>
          <w:lang w:val="en-US" w:eastAsia="zh-CN"/>
          <w14:textFill>
            <w14:solidFill>
              <w14:schemeClr w14:val="tx1"/>
            </w14:solidFill>
          </w14:textFill>
        </w:rPr>
        <w:t xml:space="preserve">  </w:t>
      </w:r>
      <w:r>
        <w:rPr>
          <w:rFonts w:hint="default" w:ascii="宋体" w:hAnsi="宋体" w:eastAsia="宋体" w:cs="仿宋"/>
          <w:bCs/>
          <w:color w:val="000000" w:themeColor="text1"/>
          <w:sz w:val="24"/>
          <w:szCs w:val="24"/>
          <w:highlight w:val="none"/>
          <w:u w:val="none"/>
          <w:lang w:eastAsia="zh-CN"/>
          <w14:textFill>
            <w14:solidFill>
              <w14:schemeClr w14:val="tx1"/>
            </w14:solidFill>
          </w14:textFill>
        </w:rPr>
        <w:t>)</w:t>
      </w:r>
      <w:r>
        <w:rPr>
          <w:rFonts w:hint="default" w:ascii="宋体" w:hAnsi="宋体" w:eastAsia="宋体" w:cs="仿宋"/>
          <w:bCs/>
          <w:color w:val="000000" w:themeColor="text1"/>
          <w:sz w:val="24"/>
          <w:szCs w:val="24"/>
          <w:highlight w:val="none"/>
          <w:lang w:eastAsia="zh-CN"/>
          <w14:textFill>
            <w14:solidFill>
              <w14:schemeClr w14:val="tx1"/>
            </w14:solidFill>
          </w14:textFill>
        </w:rPr>
        <w:t>的职责</w:t>
      </w:r>
    </w:p>
    <w:p>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 xml:space="preserve">乙方在厦门国际博览中心、国博会议中心和国博商务中心活动时必须严格遵守国家相关法律法规的要求，并服从甲方对其安全工作的统一协调、检查和督促。 </w:t>
      </w:r>
    </w:p>
    <w:p>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 xml:space="preserve">乙方对托管区域经营范围内的安全生产工作全面负责、承担责任，对事故隐患或不安全因素应立即整改。 </w:t>
      </w:r>
    </w:p>
    <w:p>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乙方应制订切实可行的安全生产管理制度、操作规程等，并张帖在醒目部位。</w:t>
      </w:r>
    </w:p>
    <w:p>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乙方应依法做好从业人员的安全教育培训工作，增强员工的法制观念，提高员工的安全生产意识和应急处置能力，督促员工自觉遵守安全制度。</w:t>
      </w:r>
    </w:p>
    <w:p>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乙方造成生产安全事故，导致人员伤亡时，由乙方承担事故责任和经济责任。</w:t>
      </w:r>
    </w:p>
    <w:p>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乙方要做好安全用电、防汛防台、防中毒、防盗窃等工作。保持用电设施的完好，严禁乱接乱拉电线。根据要求配备和维护好灭火器材，确保消防安全通道通畅。</w:t>
      </w:r>
    </w:p>
    <w:p>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乙方必须遵守国家和地方的相关电力法规和安全标准，确保配电房的安全运行，预防火灾、电弧和其他安全事故的发生。</w:t>
      </w:r>
    </w:p>
    <w:p>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乙方工作人员要严格遵守岗位安全制度和安全操作规程，禁止在岗位内喝酒、吸烟、娱乐、睡觉等。</w:t>
      </w:r>
    </w:p>
    <w:p>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乙方要加强劳动管理，施工区域内不得堆放杂物及与工作无关的物品，严禁堆放可燃物品和存放易燃易爆物品。依法做好从业人员的劳动保护和工伤保险。</w:t>
      </w:r>
    </w:p>
    <w:p>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施工区间须使用合格的设备和材料：施工应选择具有正式生产资格、符合国家标准要求的设备和材料，特别是接触电极、插头、插座等部位，一定要使用符合国家强制性标准的产品。</w:t>
      </w:r>
    </w:p>
    <w:p>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如因乙方的违章、违纪等原因造成甲方设备损毁或人员伤亡等事故、行政处罚，乙方承担全部责任，并按乙方的有关规定处理。</w:t>
      </w:r>
    </w:p>
    <w:p>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施工人员应达到国家规定的电工教育和培训要求：施工人员必须具备一定的电气知识，熟悉电气设施及其安装要求、接线、并联、电气接地等知识，且必须通过国家规定的电工教育和培训考试。</w:t>
      </w:r>
    </w:p>
    <w:p>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乙方在施工区间安装、维修电器线路时，要在上级电闸悬挂“有人操作、严禁合闸”的标志牌，严格执行安全操作规程。</w:t>
      </w:r>
    </w:p>
    <w:p>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ascii="宋体" w:hAnsi="宋体" w:eastAsia="宋体" w:cs="仿宋"/>
          <w:bCs/>
          <w:color w:val="000000" w:themeColor="text1"/>
          <w:sz w:val="24"/>
          <w:szCs w:val="24"/>
          <w:highlight w:val="none"/>
          <w:lang w:eastAsia="zh-CN"/>
          <w14:textFill>
            <w14:solidFill>
              <w14:schemeClr w14:val="tx1"/>
            </w14:solidFill>
          </w14:textFill>
        </w:rPr>
        <w:t>操作安全</w:t>
      </w:r>
      <w:r>
        <w:rPr>
          <w:rFonts w:hint="default" w:ascii="宋体" w:hAnsi="宋体" w:eastAsia="宋体" w:cs="仿宋"/>
          <w:bCs/>
          <w:color w:val="000000" w:themeColor="text1"/>
          <w:sz w:val="24"/>
          <w:szCs w:val="24"/>
          <w:highlight w:val="none"/>
          <w:lang w:eastAsia="zh-CN"/>
          <w14:textFill>
            <w14:solidFill>
              <w14:schemeClr w14:val="tx1"/>
            </w14:solidFill>
          </w14:textFill>
        </w:rPr>
        <w:t>:在</w:t>
      </w:r>
      <w:r>
        <w:rPr>
          <w:rFonts w:hint="default" w:ascii="宋体" w:hAnsi="宋体" w:eastAsia="宋体" w:cs="仿宋"/>
          <w:bCs/>
          <w:color w:val="000000" w:themeColor="text1"/>
          <w:sz w:val="24"/>
          <w:szCs w:val="24"/>
          <w:highlight w:val="none"/>
          <w:lang w:val="en-US" w:eastAsia="zh-CN"/>
          <w14:textFill>
            <w14:solidFill>
              <w14:schemeClr w14:val="tx1"/>
            </w14:solidFill>
          </w14:textFill>
        </w:rPr>
        <w:t>本项目</w:t>
      </w:r>
      <w:r>
        <w:rPr>
          <w:rFonts w:hint="default" w:ascii="宋体" w:hAnsi="宋体" w:eastAsia="宋体" w:cs="仿宋"/>
          <w:bCs/>
          <w:color w:val="000000" w:themeColor="text1"/>
          <w:sz w:val="24"/>
          <w:szCs w:val="24"/>
          <w:highlight w:val="none"/>
          <w:lang w:eastAsia="zh-CN"/>
          <w14:textFill>
            <w14:solidFill>
              <w14:schemeClr w14:val="tx1"/>
            </w14:solidFill>
          </w14:textFill>
        </w:rPr>
        <w:t>施工中，操作安全是关键。施工人员必须按照操作规程进行操作，并严格遵守安全操作规程，禁止违反规定的操作行为。对于涉及到高空作业的环节，必须对施工人员进行高空作业操作培训，并严格按照安全操作规程进行作业。</w:t>
      </w:r>
    </w:p>
    <w:p>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ascii="宋体" w:hAnsi="宋体" w:eastAsia="宋体" w:cs="仿宋"/>
          <w:bCs/>
          <w:color w:val="000000" w:themeColor="text1"/>
          <w:sz w:val="24"/>
          <w:szCs w:val="24"/>
          <w:highlight w:val="none"/>
          <w:lang w:eastAsia="zh-CN"/>
          <w14:textFill>
            <w14:solidFill>
              <w14:schemeClr w14:val="tx1"/>
            </w14:solidFill>
          </w14:textFill>
        </w:rPr>
        <w:t>环境安全</w:t>
      </w:r>
      <w:r>
        <w:rPr>
          <w:rFonts w:hint="default" w:ascii="宋体" w:hAnsi="宋体" w:eastAsia="宋体" w:cs="仿宋"/>
          <w:bCs/>
          <w:color w:val="000000" w:themeColor="text1"/>
          <w:sz w:val="24"/>
          <w:szCs w:val="24"/>
          <w:highlight w:val="none"/>
          <w:lang w:eastAsia="zh-CN"/>
          <w14:textFill>
            <w14:solidFill>
              <w14:schemeClr w14:val="tx1"/>
            </w14:solidFill>
          </w14:textFill>
        </w:rPr>
        <w:t>:</w:t>
      </w:r>
      <w:r>
        <w:rPr>
          <w:rFonts w:hint="default" w:ascii="宋体" w:hAnsi="宋体" w:eastAsia="宋体" w:cs="仿宋"/>
          <w:bCs/>
          <w:color w:val="000000" w:themeColor="text1"/>
          <w:sz w:val="24"/>
          <w:szCs w:val="24"/>
          <w:highlight w:val="none"/>
          <w:lang w:val="en-US" w:eastAsia="zh-CN"/>
          <w14:textFill>
            <w14:solidFill>
              <w14:schemeClr w14:val="tx1"/>
            </w14:solidFill>
          </w14:textFill>
        </w:rPr>
        <w:t>本项目</w:t>
      </w:r>
      <w:r>
        <w:rPr>
          <w:rFonts w:hint="default" w:ascii="宋体" w:hAnsi="宋体" w:eastAsia="宋体" w:cs="仿宋"/>
          <w:bCs/>
          <w:color w:val="000000" w:themeColor="text1"/>
          <w:sz w:val="24"/>
          <w:szCs w:val="24"/>
          <w:highlight w:val="none"/>
          <w:lang w:eastAsia="zh-CN"/>
          <w14:textFill>
            <w14:solidFill>
              <w14:schemeClr w14:val="tx1"/>
            </w14:solidFill>
          </w14:textFill>
        </w:rPr>
        <w:t>工程的施工环境安全也是非常重要的。在施工现场必须设置明显的安全警示标识，确保施工人员和周围环境的安全。此外，对施工现场进行环境检测，确保作业环境没有危害施工人员的有毒有害气体，避免对施工人员的健康造成损害。</w:t>
      </w:r>
    </w:p>
    <w:p>
      <w:pPr>
        <w:widowControl/>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乙方应严格遵守包括但不仅限于《中华人民共和国民法典》、《中华人民共和国安全生产法》、</w:t>
      </w:r>
      <w:r>
        <w:rPr>
          <w:rFonts w:hint="default" w:ascii="宋体" w:hAnsi="宋体" w:eastAsia="宋体" w:cs="仿宋"/>
          <w:b w:val="0"/>
          <w:bCs/>
          <w:color w:val="000000" w:themeColor="text1"/>
          <w:kern w:val="2"/>
          <w:sz w:val="24"/>
          <w:szCs w:val="24"/>
          <w:highlight w:val="none"/>
          <w:lang w:val="en-US" w:eastAsia="zh-CN" w:bidi="ar"/>
          <w14:textFill>
            <w14:solidFill>
              <w14:schemeClr w14:val="tx1"/>
            </w14:solidFill>
          </w14:textFill>
        </w:rPr>
        <w:t>《中华人民共和国电业安全工作规程》、《高压电力用户用电安全》GB/T 31989-2015、《国家电网公司电力安全工作规程》、《电力设施保护条例》、</w:t>
      </w:r>
      <w:r>
        <w:rPr>
          <w:rFonts w:hint="default" w:ascii="宋体" w:hAnsi="宋体" w:eastAsia="宋体" w:cs="仿宋"/>
          <w:bCs/>
          <w:i w:val="0"/>
          <w:iCs w:val="0"/>
          <w:caps w:val="0"/>
          <w:color w:val="000000" w:themeColor="text1"/>
          <w:spacing w:val="0"/>
          <w:kern w:val="2"/>
          <w:sz w:val="24"/>
          <w:szCs w:val="24"/>
          <w:highlight w:val="none"/>
          <w:shd w:val="clear" w:color="auto" w:fill="auto"/>
          <w:lang w:bidi="ar"/>
          <w14:textFill>
            <w14:solidFill>
              <w14:schemeClr w14:val="tx1"/>
            </w14:solidFill>
          </w14:textFill>
        </w:rPr>
        <w:t>《电工安全技术操作规程》</w:t>
      </w:r>
      <w:r>
        <w:rPr>
          <w:rFonts w:hint="default" w:ascii="宋体" w:hAnsi="宋体" w:eastAsia="宋体" w:cs="仿宋"/>
          <w:bCs/>
          <w:color w:val="000000" w:themeColor="text1"/>
          <w:sz w:val="24"/>
          <w:szCs w:val="24"/>
          <w:highlight w:val="none"/>
          <w:lang w:eastAsia="zh-CN"/>
          <w14:textFill>
            <w14:solidFill>
              <w14:schemeClr w14:val="tx1"/>
            </w14:solidFill>
          </w14:textFill>
        </w:rPr>
        <w:t>，如有变更以政府部门最新发布为准。</w:t>
      </w:r>
    </w:p>
    <w:p>
      <w:pPr>
        <w:widowControl/>
        <w:numPr>
          <w:ilvl w:val="0"/>
          <w:numId w:val="0"/>
        </w:numPr>
        <w:adjustRightInd w:val="0"/>
        <w:snapToGrid w:val="0"/>
        <w:spacing w:line="360" w:lineRule="auto"/>
        <w:ind w:left="425" w:firstLine="480" w:firstLineChars="200"/>
        <w:jc w:val="left"/>
        <w:rPr>
          <w:rFonts w:hint="default" w:ascii="宋体" w:hAnsi="宋体" w:eastAsia="宋体" w:cs="仿宋"/>
          <w:bCs/>
          <w:color w:val="000000" w:themeColor="text1"/>
          <w:sz w:val="24"/>
          <w:szCs w:val="24"/>
          <w:highlight w:val="none"/>
          <w14:textFill>
            <w14:solidFill>
              <w14:schemeClr w14:val="tx1"/>
            </w14:solidFill>
          </w14:textFill>
        </w:rPr>
      </w:pPr>
      <w:r>
        <w:rPr>
          <w:rFonts w:hint="eastAsia" w:ascii="宋体" w:hAnsi="宋体" w:cs="仿宋"/>
          <w:bCs/>
          <w:color w:val="000000" w:themeColor="text1"/>
          <w:sz w:val="24"/>
          <w:szCs w:val="24"/>
          <w:highlight w:val="none"/>
          <w:lang w:val="en-US" w:eastAsia="zh-CN"/>
          <w14:textFill>
            <w14:solidFill>
              <w14:schemeClr w14:val="tx1"/>
            </w14:solidFill>
          </w14:textFill>
        </w:rPr>
        <w:t>三、</w:t>
      </w:r>
      <w:r>
        <w:rPr>
          <w:rFonts w:hint="default" w:ascii="宋体" w:hAnsi="宋体" w:eastAsia="宋体" w:cs="仿宋"/>
          <w:bCs/>
          <w:color w:val="000000" w:themeColor="text1"/>
          <w:sz w:val="24"/>
          <w:szCs w:val="24"/>
          <w:highlight w:val="none"/>
          <w14:textFill>
            <w14:solidFill>
              <w14:schemeClr w14:val="tx1"/>
            </w14:solidFill>
          </w14:textFill>
        </w:rPr>
        <w:t>违约责任</w:t>
      </w:r>
    </w:p>
    <w:p>
      <w:pPr>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如因一方违反本协议规定导致安全事故发生，违约方应承担相应的法律责任和经济损失赔偿责任。</w:t>
      </w:r>
    </w:p>
    <w:p>
      <w:pPr>
        <w:widowControl/>
        <w:numPr>
          <w:ilvl w:val="0"/>
          <w:numId w:val="0"/>
        </w:numPr>
        <w:adjustRightInd w:val="0"/>
        <w:snapToGrid w:val="0"/>
        <w:spacing w:line="360" w:lineRule="auto"/>
        <w:ind w:left="425" w:firstLine="480" w:firstLineChars="200"/>
        <w:jc w:val="left"/>
        <w:rPr>
          <w:rFonts w:hint="default" w:ascii="宋体" w:hAnsi="宋体" w:eastAsia="宋体" w:cs="仿宋"/>
          <w:bCs/>
          <w:color w:val="000000" w:themeColor="text1"/>
          <w:sz w:val="24"/>
          <w:szCs w:val="24"/>
          <w:highlight w:val="none"/>
          <w14:textFill>
            <w14:solidFill>
              <w14:schemeClr w14:val="tx1"/>
            </w14:solidFill>
          </w14:textFill>
        </w:rPr>
      </w:pPr>
      <w:r>
        <w:rPr>
          <w:rFonts w:hint="eastAsia" w:ascii="宋体" w:hAnsi="宋体" w:cs="仿宋"/>
          <w:bCs/>
          <w:color w:val="000000" w:themeColor="text1"/>
          <w:sz w:val="24"/>
          <w:szCs w:val="24"/>
          <w:highlight w:val="none"/>
          <w:lang w:val="en-US" w:eastAsia="zh-CN"/>
          <w14:textFill>
            <w14:solidFill>
              <w14:schemeClr w14:val="tx1"/>
            </w14:solidFill>
          </w14:textFill>
        </w:rPr>
        <w:t>四、</w:t>
      </w:r>
      <w:r>
        <w:rPr>
          <w:rFonts w:hint="default" w:ascii="宋体" w:hAnsi="宋体" w:eastAsia="宋体" w:cs="仿宋"/>
          <w:bCs/>
          <w:color w:val="000000" w:themeColor="text1"/>
          <w:sz w:val="24"/>
          <w:szCs w:val="24"/>
          <w:highlight w:val="none"/>
          <w14:textFill>
            <w14:solidFill>
              <w14:schemeClr w14:val="tx1"/>
            </w14:solidFill>
          </w14:textFill>
        </w:rPr>
        <w:t>其他事项</w:t>
      </w:r>
    </w:p>
    <w:p>
      <w:pPr>
        <w:numPr>
          <w:ilvl w:val="0"/>
          <w:numId w:val="0"/>
        </w:numPr>
        <w:adjustRightInd w:val="0"/>
        <w:snapToGrid w:val="0"/>
        <w:spacing w:line="360" w:lineRule="auto"/>
        <w:ind w:left="425" w:firstLine="480" w:firstLineChars="200"/>
        <w:jc w:val="left"/>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乙方作业员发生人身伤害事故，由甲方协助组织调查，提供资料，乙方依据有关规定处理。</w:t>
      </w:r>
    </w:p>
    <w:p>
      <w:pPr>
        <w:numPr>
          <w:ilvl w:val="0"/>
          <w:numId w:val="0"/>
        </w:numPr>
        <w:adjustRightInd w:val="0"/>
        <w:snapToGrid w:val="0"/>
        <w:spacing w:line="360" w:lineRule="auto"/>
        <w:ind w:left="425" w:firstLine="480" w:firstLineChars="200"/>
        <w:rPr>
          <w:rFonts w:ascii="宋体" w:hAnsi="宋体" w:eastAsia="宋体" w:cs="仿宋"/>
          <w:bCs/>
          <w:color w:val="000000" w:themeColor="text1"/>
          <w:spacing w:val="0"/>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协议中没有明确的事宜一旦发生，由甲、乙双方共同协商。</w:t>
      </w:r>
    </w:p>
    <w:p>
      <w:pPr>
        <w:numPr>
          <w:ilvl w:val="0"/>
          <w:numId w:val="0"/>
        </w:numPr>
        <w:adjustRightInd w:val="0"/>
        <w:snapToGrid w:val="0"/>
        <w:spacing w:line="360" w:lineRule="auto"/>
        <w:ind w:left="425" w:firstLine="480" w:firstLineChars="200"/>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z w:val="24"/>
          <w:szCs w:val="24"/>
          <w:highlight w:val="none"/>
          <w:lang w:eastAsia="zh-CN"/>
          <w14:textFill>
            <w14:solidFill>
              <w14:schemeClr w14:val="tx1"/>
            </w14:solidFill>
          </w14:textFill>
        </w:rPr>
        <w:t>（以下无正文）</w:t>
      </w:r>
    </w:p>
    <w:p>
      <w:pPr>
        <w:numPr>
          <w:ilvl w:val="0"/>
          <w:numId w:val="0"/>
        </w:numPr>
        <w:adjustRightInd w:val="0"/>
        <w:snapToGrid w:val="0"/>
        <w:spacing w:before="0" w:line="360" w:lineRule="auto"/>
        <w:ind w:left="425"/>
        <w:rPr>
          <w:rFonts w:ascii="宋体" w:hAnsi="宋体" w:eastAsia="宋体" w:cs="仿宋"/>
          <w:bCs/>
          <w:color w:val="000000" w:themeColor="text1"/>
          <w:sz w:val="24"/>
          <w:szCs w:val="24"/>
          <w:highlight w:val="none"/>
          <w:lang w:eastAsia="zh-CN"/>
          <w14:textFill>
            <w14:solidFill>
              <w14:schemeClr w14:val="tx1"/>
            </w14:solidFill>
          </w14:textFill>
        </w:rPr>
      </w:pPr>
    </w:p>
    <w:p>
      <w:pPr>
        <w:numPr>
          <w:ilvl w:val="0"/>
          <w:numId w:val="0"/>
        </w:numPr>
        <w:adjustRightInd w:val="0"/>
        <w:snapToGrid w:val="0"/>
        <w:spacing w:line="360" w:lineRule="auto"/>
        <w:ind w:left="425" w:right="1268"/>
        <w:rPr>
          <w:rFonts w:ascii="宋体" w:hAnsi="宋体" w:eastAsia="宋体" w:cs="仿宋"/>
          <w:bCs/>
          <w:color w:val="000000" w:themeColor="text1"/>
          <w:sz w:val="24"/>
          <w:szCs w:val="24"/>
          <w:highlight w:val="none"/>
          <w:lang w:eastAsia="zh-CN"/>
          <w14:textFill>
            <w14:solidFill>
              <w14:schemeClr w14:val="tx1"/>
            </w14:solidFill>
          </w14:textFill>
        </w:rPr>
      </w:pPr>
      <w:r>
        <w:rPr>
          <w:rFonts w:hint="default" w:ascii="宋体" w:hAnsi="宋体" w:eastAsia="宋体" w:cs="仿宋"/>
          <w:bCs/>
          <w:color w:val="000000" w:themeColor="text1"/>
          <w:spacing w:val="0"/>
          <w:sz w:val="24"/>
          <w:szCs w:val="24"/>
          <w:highlight w:val="none"/>
          <w:lang w:eastAsia="zh-CN"/>
          <w14:textFill>
            <w14:solidFill>
              <w14:schemeClr w14:val="tx1"/>
            </w14:solidFill>
          </w14:textFill>
        </w:rPr>
        <w:t>甲方</w:t>
      </w:r>
      <w:r>
        <w:rPr>
          <w:rFonts w:hint="default" w:ascii="宋体" w:hAnsi="宋体" w:eastAsia="宋体" w:cs="仿宋"/>
          <w:bCs/>
          <w:color w:val="000000" w:themeColor="text1"/>
          <w:spacing w:val="0"/>
          <w:sz w:val="24"/>
          <w:szCs w:val="24"/>
          <w:highlight w:val="none"/>
          <w:u w:val="none" w:color="4F544F"/>
          <w:lang w:eastAsia="zh-CN"/>
          <w14:textFill>
            <w14:solidFill>
              <w14:schemeClr w14:val="tx1"/>
            </w14:solidFill>
          </w14:textFill>
        </w:rPr>
        <w:t>：</w:t>
      </w:r>
      <w:r>
        <w:rPr>
          <w:rFonts w:hint="default" w:ascii="宋体" w:hAnsi="宋体" w:eastAsia="宋体" w:cs="仿宋"/>
          <w:bCs/>
          <w:color w:val="000000" w:themeColor="text1"/>
          <w:spacing w:val="0"/>
          <w:sz w:val="24"/>
          <w:szCs w:val="24"/>
          <w:highlight w:val="none"/>
          <w:u w:val="none" w:color="4F544F"/>
          <w:lang w:eastAsia="zh-CN"/>
          <w14:textFill>
            <w14:solidFill>
              <w14:schemeClr w14:val="tx1"/>
            </w14:solidFill>
          </w14:textFill>
        </w:rPr>
        <w:tab/>
      </w:r>
      <w:r>
        <w:rPr>
          <w:rFonts w:hint="default" w:ascii="宋体" w:hAnsi="宋体" w:eastAsia="宋体" w:cs="仿宋"/>
          <w:bCs/>
          <w:color w:val="000000" w:themeColor="text1"/>
          <w:spacing w:val="0"/>
          <w:sz w:val="24"/>
          <w:szCs w:val="24"/>
          <w:highlight w:val="none"/>
          <w:u w:val="none" w:color="4F544F"/>
          <w:lang w:eastAsia="zh-CN"/>
          <w14:textFill>
            <w14:solidFill>
              <w14:schemeClr w14:val="tx1"/>
            </w14:solidFill>
          </w14:textFill>
        </w:rPr>
        <w:tab/>
      </w:r>
      <w:r>
        <w:rPr>
          <w:rFonts w:hint="default" w:ascii="宋体" w:hAnsi="宋体" w:eastAsia="宋体" w:cs="仿宋"/>
          <w:bCs/>
          <w:color w:val="000000" w:themeColor="text1"/>
          <w:w w:val="100"/>
          <w:position w:val="0"/>
          <w:sz w:val="24"/>
          <w:szCs w:val="24"/>
          <w:highlight w:val="none"/>
          <w:lang w:eastAsia="zh-CN"/>
          <w14:textFill>
            <w14:solidFill>
              <w14:schemeClr w14:val="tx1"/>
            </w14:solidFill>
          </w14:textFill>
        </w:rPr>
        <w:t>（公章）</w:t>
      </w:r>
      <w:r>
        <w:rPr>
          <w:rFonts w:hint="default" w:ascii="宋体" w:hAnsi="宋体" w:eastAsia="宋体" w:cs="仿宋"/>
          <w:bCs/>
          <w:color w:val="000000" w:themeColor="text1"/>
          <w:w w:val="100"/>
          <w:position w:val="0"/>
          <w:sz w:val="24"/>
          <w:szCs w:val="24"/>
          <w:highlight w:val="none"/>
          <w:lang w:eastAsia="zh-CN"/>
          <w14:textFill>
            <w14:solidFill>
              <w14:schemeClr w14:val="tx1"/>
            </w14:solidFill>
          </w14:textFill>
        </w:rPr>
        <w:tab/>
      </w:r>
      <w:r>
        <w:rPr>
          <w:rFonts w:hint="eastAsia" w:ascii="宋体" w:hAnsi="宋体" w:cs="仿宋"/>
          <w:bCs/>
          <w:color w:val="000000" w:themeColor="text1"/>
          <w:w w:val="100"/>
          <w:position w:val="0"/>
          <w:sz w:val="24"/>
          <w:szCs w:val="24"/>
          <w:highlight w:val="none"/>
          <w:lang w:val="en-US" w:eastAsia="zh-CN"/>
          <w14:textFill>
            <w14:solidFill>
              <w14:schemeClr w14:val="tx1"/>
            </w14:solidFill>
          </w14:textFill>
        </w:rPr>
        <w:t xml:space="preserve">                       </w:t>
      </w:r>
      <w:r>
        <w:rPr>
          <w:rFonts w:hint="default" w:ascii="宋体" w:hAnsi="宋体" w:eastAsia="宋体" w:cs="仿宋"/>
          <w:bCs/>
          <w:color w:val="000000" w:themeColor="text1"/>
          <w:w w:val="100"/>
          <w:position w:val="0"/>
          <w:sz w:val="24"/>
          <w:szCs w:val="24"/>
          <w:highlight w:val="none"/>
          <w:lang w:eastAsia="zh-CN"/>
          <w14:textFill>
            <w14:solidFill>
              <w14:schemeClr w14:val="tx1"/>
            </w14:solidFill>
          </w14:textFill>
        </w:rPr>
        <w:t>乙方</w:t>
      </w:r>
      <w:r>
        <w:rPr>
          <w:rFonts w:hint="default" w:ascii="宋体" w:hAnsi="宋体" w:eastAsia="宋体" w:cs="仿宋"/>
          <w:bCs/>
          <w:color w:val="000000" w:themeColor="text1"/>
          <w:w w:val="100"/>
          <w:position w:val="0"/>
          <w:sz w:val="24"/>
          <w:szCs w:val="24"/>
          <w:highlight w:val="none"/>
          <w:u w:val="none" w:color="484844"/>
          <w:lang w:eastAsia="zh-CN"/>
          <w14:textFill>
            <w14:solidFill>
              <w14:schemeClr w14:val="tx1"/>
            </w14:solidFill>
          </w14:textFill>
        </w:rPr>
        <w:t>：</w:t>
      </w:r>
      <w:r>
        <w:rPr>
          <w:rFonts w:hint="default" w:ascii="宋体" w:hAnsi="宋体" w:eastAsia="宋体" w:cs="仿宋"/>
          <w:bCs/>
          <w:color w:val="000000" w:themeColor="text1"/>
          <w:w w:val="100"/>
          <w:position w:val="0"/>
          <w:sz w:val="24"/>
          <w:szCs w:val="24"/>
          <w:highlight w:val="none"/>
          <w:u w:val="none" w:color="484844"/>
          <w:lang w:eastAsia="zh-CN"/>
          <w14:textFill>
            <w14:solidFill>
              <w14:schemeClr w14:val="tx1"/>
            </w14:solidFill>
          </w14:textFill>
        </w:rPr>
        <w:tab/>
      </w:r>
      <w:r>
        <w:rPr>
          <w:rFonts w:hint="default" w:ascii="宋体" w:hAnsi="宋体" w:eastAsia="宋体" w:cs="仿宋"/>
          <w:bCs/>
          <w:color w:val="000000" w:themeColor="text1"/>
          <w:w w:val="100"/>
          <w:position w:val="0"/>
          <w:sz w:val="24"/>
          <w:szCs w:val="24"/>
          <w:highlight w:val="none"/>
          <w:lang w:eastAsia="zh-CN"/>
          <w14:textFill>
            <w14:solidFill>
              <w14:schemeClr w14:val="tx1"/>
            </w14:solidFill>
          </w14:textFill>
        </w:rPr>
        <w:t>（</w:t>
      </w:r>
      <w:r>
        <w:rPr>
          <w:rFonts w:hint="default" w:ascii="宋体" w:hAnsi="宋体" w:eastAsia="宋体" w:cs="仿宋"/>
          <w:bCs/>
          <w:color w:val="000000" w:themeColor="text1"/>
          <w:spacing w:val="0"/>
          <w:w w:val="100"/>
          <w:position w:val="0"/>
          <w:sz w:val="24"/>
          <w:szCs w:val="24"/>
          <w:highlight w:val="none"/>
          <w:lang w:eastAsia="zh-CN"/>
          <w14:textFill>
            <w14:solidFill>
              <w14:schemeClr w14:val="tx1"/>
            </w14:solidFill>
          </w14:textFill>
        </w:rPr>
        <w:t xml:space="preserve"> </w:t>
      </w:r>
      <w:r>
        <w:rPr>
          <w:rFonts w:hint="default" w:ascii="宋体" w:hAnsi="宋体" w:eastAsia="宋体" w:cs="仿宋"/>
          <w:bCs/>
          <w:color w:val="000000" w:themeColor="text1"/>
          <w:w w:val="100"/>
          <w:position w:val="0"/>
          <w:sz w:val="24"/>
          <w:szCs w:val="24"/>
          <w:highlight w:val="none"/>
          <w:lang w:eastAsia="zh-CN"/>
          <w14:textFill>
            <w14:solidFill>
              <w14:schemeClr w14:val="tx1"/>
            </w14:solidFill>
          </w14:textFill>
        </w:rPr>
        <w:t>公章）</w:t>
      </w:r>
    </w:p>
    <w:p>
      <w:pPr>
        <w:numPr>
          <w:ilvl w:val="0"/>
          <w:numId w:val="0"/>
        </w:numPr>
        <w:adjustRightInd w:val="0"/>
        <w:snapToGrid w:val="0"/>
        <w:spacing w:before="0" w:line="360" w:lineRule="auto"/>
        <w:ind w:left="425"/>
        <w:rPr>
          <w:rFonts w:ascii="宋体" w:hAnsi="宋体" w:eastAsia="宋体" w:cs="仿宋"/>
          <w:bCs/>
          <w:color w:val="000000" w:themeColor="text1"/>
          <w:sz w:val="24"/>
          <w:szCs w:val="24"/>
          <w:highlight w:val="none"/>
          <w:lang w:eastAsia="zh-CN"/>
          <w14:textFill>
            <w14:solidFill>
              <w14:schemeClr w14:val="tx1"/>
            </w14:solidFill>
          </w14:textFill>
        </w:rPr>
      </w:pPr>
    </w:p>
    <w:p>
      <w:pPr>
        <w:numPr>
          <w:ilvl w:val="0"/>
          <w:numId w:val="0"/>
        </w:numPr>
        <w:adjustRightInd w:val="0"/>
        <w:snapToGrid w:val="0"/>
        <w:spacing w:line="360" w:lineRule="auto"/>
        <w:ind w:left="425"/>
        <w:rPr>
          <w:rFonts w:ascii="宋体" w:hAnsi="宋体" w:eastAsia="宋体" w:cs="仿宋"/>
          <w:bCs/>
          <w:color w:val="000000" w:themeColor="text1"/>
          <w:sz w:val="24"/>
          <w:szCs w:val="24"/>
          <w:highlight w:val="none"/>
          <w:lang w:eastAsia="zh-CN"/>
          <w14:textFill>
            <w14:solidFill>
              <w14:schemeClr w14:val="tx1"/>
            </w14:solidFill>
          </w14:textFill>
        </w:rPr>
        <w:sectPr>
          <w:pgSz w:w="11900" w:h="16820"/>
          <w:pgMar w:top="1418" w:right="1134" w:bottom="1134" w:left="1134" w:header="720" w:footer="720" w:gutter="0"/>
          <w:cols w:space="720" w:num="1"/>
        </w:sectPr>
      </w:pPr>
    </w:p>
    <w:p>
      <w:pPr>
        <w:numPr>
          <w:ilvl w:val="0"/>
          <w:numId w:val="0"/>
        </w:numPr>
        <w:adjustRightInd w:val="0"/>
        <w:snapToGrid w:val="0"/>
        <w:spacing w:before="26" w:line="360" w:lineRule="auto"/>
        <w:ind w:left="425" w:right="-668" w:rightChars="-318"/>
        <w:rPr>
          <w:rFonts w:ascii="宋体" w:hAnsi="宋体" w:eastAsia="宋体" w:cs="仿宋"/>
          <w:bCs/>
          <w:color w:val="000000" w:themeColor="text1"/>
          <w:w w:val="100"/>
          <w:sz w:val="24"/>
          <w:szCs w:val="24"/>
          <w:highlight w:val="none"/>
          <w:lang w:eastAsia="zh-CN"/>
          <w14:textFill>
            <w14:solidFill>
              <w14:schemeClr w14:val="tx1"/>
            </w14:solidFill>
          </w14:textFill>
        </w:rPr>
      </w:pPr>
      <w:r>
        <w:rPr>
          <w:rFonts w:hint="default" w:ascii="宋体" w:hAnsi="宋体" w:eastAsia="宋体" w:cs="仿宋"/>
          <w:bCs/>
          <w:color w:val="000000" w:themeColor="text1"/>
          <w:w w:val="100"/>
          <w:sz w:val="24"/>
          <w:szCs w:val="24"/>
          <w:highlight w:val="none"/>
          <w:lang w:eastAsia="zh-CN"/>
          <w14:textFill>
            <w14:solidFill>
              <w14:schemeClr w14:val="tx1"/>
            </w14:solidFill>
          </w14:textFill>
        </w:rPr>
        <w:t xml:space="preserve">法定代表人或委托代理人 </w:t>
      </w:r>
    </w:p>
    <w:p>
      <w:pPr>
        <w:numPr>
          <w:ilvl w:val="0"/>
          <w:numId w:val="0"/>
        </w:numPr>
        <w:adjustRightInd w:val="0"/>
        <w:snapToGrid w:val="0"/>
        <w:spacing w:before="26" w:line="360" w:lineRule="auto"/>
        <w:ind w:left="425" w:right="-668" w:rightChars="-318"/>
        <w:rPr>
          <w:rFonts w:ascii="宋体" w:hAnsi="宋体" w:eastAsia="宋体" w:cs="仿宋"/>
          <w:bCs/>
          <w:color w:val="000000" w:themeColor="text1"/>
          <w:sz w:val="24"/>
          <w:szCs w:val="24"/>
          <w:highlight w:val="none"/>
          <w:u w:val="none"/>
          <w:lang w:eastAsia="zh-CN"/>
          <w14:textFill>
            <w14:solidFill>
              <w14:schemeClr w14:val="tx1"/>
            </w14:solidFill>
          </w14:textFill>
        </w:rPr>
      </w:pPr>
      <w:r>
        <w:rPr>
          <w:rFonts w:hint="default" w:ascii="宋体" w:hAnsi="宋体" w:eastAsia="宋体" w:cs="仿宋"/>
          <w:bCs/>
          <w:color w:val="000000" w:themeColor="text1"/>
          <w:spacing w:val="0"/>
          <w:w w:val="100"/>
          <w:sz w:val="24"/>
          <w:szCs w:val="24"/>
          <w:highlight w:val="none"/>
          <w:lang w:eastAsia="zh-CN"/>
          <w14:textFill>
            <w14:solidFill>
              <w14:schemeClr w14:val="tx1"/>
            </w14:solidFill>
          </w14:textFill>
        </w:rPr>
        <w:t>签字:</w:t>
      </w:r>
      <w:r>
        <w:rPr>
          <w:rFonts w:hint="default" w:ascii="宋体" w:hAnsi="宋体" w:eastAsia="宋体" w:cs="仿宋"/>
          <w:bCs/>
          <w:color w:val="000000" w:themeColor="text1"/>
          <w:spacing w:val="0"/>
          <w:w w:val="100"/>
          <w:sz w:val="24"/>
          <w:szCs w:val="24"/>
          <w:highlight w:val="none"/>
          <w:u w:val="none"/>
          <w:lang w:eastAsia="zh-CN"/>
          <w14:textFill>
            <w14:solidFill>
              <w14:schemeClr w14:val="tx1"/>
            </w14:solidFill>
          </w14:textFill>
        </w:rPr>
        <w:t xml:space="preserve">               </w:t>
      </w:r>
    </w:p>
    <w:p>
      <w:pPr>
        <w:numPr>
          <w:ilvl w:val="0"/>
          <w:numId w:val="0"/>
        </w:numPr>
        <w:adjustRightInd w:val="0"/>
        <w:snapToGrid w:val="0"/>
        <w:spacing w:before="70" w:line="360" w:lineRule="auto"/>
        <w:ind w:left="425" w:right="-6370" w:firstLineChars="500"/>
        <w:rPr>
          <w:rFonts w:hint="default" w:ascii="宋体" w:hAnsi="宋体" w:eastAsia="宋体" w:cs="仿宋"/>
          <w:bCs/>
          <w:color w:val="000000" w:themeColor="text1"/>
          <w:w w:val="100"/>
          <w:sz w:val="24"/>
          <w:szCs w:val="24"/>
          <w:highlight w:val="none"/>
          <w:lang w:eastAsia="zh-CN"/>
          <w14:textFill>
            <w14:solidFill>
              <w14:schemeClr w14:val="tx1"/>
            </w14:solidFill>
          </w14:textFill>
        </w:rPr>
      </w:pPr>
      <w:r>
        <w:rPr>
          <w:rFonts w:hint="default" w:ascii="宋体" w:hAnsi="宋体" w:eastAsia="宋体" w:cs="仿宋"/>
          <w:bCs/>
          <w:color w:val="000000" w:themeColor="text1"/>
          <w:w w:val="100"/>
          <w:sz w:val="24"/>
          <w:szCs w:val="24"/>
          <w:highlight w:val="none"/>
          <w:lang w:eastAsia="zh-CN"/>
          <w14:textFill>
            <w14:solidFill>
              <w14:schemeClr w14:val="tx1"/>
            </w14:solidFill>
          </w14:textFill>
        </w:rPr>
        <w:t>年</w:t>
      </w:r>
      <w:r>
        <w:rPr>
          <w:rFonts w:hint="default" w:ascii="宋体" w:hAnsi="宋体" w:eastAsia="宋体" w:cs="仿宋"/>
          <w:bCs/>
          <w:color w:val="000000" w:themeColor="text1"/>
          <w:w w:val="100"/>
          <w:sz w:val="24"/>
          <w:szCs w:val="24"/>
          <w:highlight w:val="none"/>
          <w:lang w:eastAsia="zh-CN"/>
          <w14:textFill>
            <w14:solidFill>
              <w14:schemeClr w14:val="tx1"/>
            </w14:solidFill>
          </w14:textFill>
        </w:rPr>
        <w:tab/>
      </w:r>
      <w:r>
        <w:rPr>
          <w:rFonts w:hint="default" w:ascii="宋体" w:hAnsi="宋体" w:eastAsia="宋体" w:cs="仿宋"/>
          <w:bCs/>
          <w:color w:val="000000" w:themeColor="text1"/>
          <w:w w:val="100"/>
          <w:sz w:val="24"/>
          <w:szCs w:val="24"/>
          <w:highlight w:val="none"/>
          <w:lang w:eastAsia="zh-CN"/>
          <w14:textFill>
            <w14:solidFill>
              <w14:schemeClr w14:val="tx1"/>
            </w14:solidFill>
          </w14:textFill>
        </w:rPr>
        <w:t xml:space="preserve"> 月 </w:t>
      </w:r>
      <w:r>
        <w:rPr>
          <w:rFonts w:hint="default" w:ascii="宋体" w:hAnsi="宋体" w:eastAsia="宋体" w:cs="仿宋"/>
          <w:bCs/>
          <w:color w:val="000000" w:themeColor="text1"/>
          <w:w w:val="100"/>
          <w:sz w:val="24"/>
          <w:szCs w:val="24"/>
          <w:highlight w:val="none"/>
          <w:lang w:eastAsia="zh-CN"/>
          <w14:textFill>
            <w14:solidFill>
              <w14:schemeClr w14:val="tx1"/>
            </w14:solidFill>
          </w14:textFill>
        </w:rPr>
        <w:tab/>
      </w:r>
      <w:r>
        <w:rPr>
          <w:rFonts w:hint="default" w:ascii="宋体" w:hAnsi="宋体" w:eastAsia="宋体" w:cs="仿宋"/>
          <w:bCs/>
          <w:color w:val="000000" w:themeColor="text1"/>
          <w:w w:val="100"/>
          <w:sz w:val="24"/>
          <w:szCs w:val="24"/>
          <w:highlight w:val="none"/>
          <w:lang w:eastAsia="zh-CN"/>
          <w14:textFill>
            <w14:solidFill>
              <w14:schemeClr w14:val="tx1"/>
            </w14:solidFill>
          </w14:textFill>
        </w:rPr>
        <w:t xml:space="preserve"> 日 </w:t>
      </w:r>
    </w:p>
    <w:p>
      <w:pPr>
        <w:numPr>
          <w:ilvl w:val="0"/>
          <w:numId w:val="0"/>
        </w:numPr>
        <w:adjustRightInd w:val="0"/>
        <w:snapToGrid w:val="0"/>
        <w:spacing w:before="70" w:line="360" w:lineRule="auto"/>
        <w:ind w:left="425" w:right="-6370" w:firstLineChars="500"/>
        <w:rPr>
          <w:rFonts w:hint="default" w:ascii="宋体" w:hAnsi="宋体" w:eastAsia="宋体" w:cs="仿宋"/>
          <w:bCs/>
          <w:color w:val="000000" w:themeColor="text1"/>
          <w:w w:val="100"/>
          <w:sz w:val="24"/>
          <w:szCs w:val="24"/>
          <w:highlight w:val="none"/>
          <w:lang w:eastAsia="zh-CN"/>
          <w14:textFill>
            <w14:solidFill>
              <w14:schemeClr w14:val="tx1"/>
            </w14:solidFill>
          </w14:textFill>
        </w:rPr>
      </w:pPr>
    </w:p>
    <w:p>
      <w:pPr>
        <w:numPr>
          <w:ilvl w:val="0"/>
          <w:numId w:val="0"/>
        </w:numPr>
        <w:adjustRightInd w:val="0"/>
        <w:snapToGrid w:val="0"/>
        <w:spacing w:before="70" w:line="360" w:lineRule="auto"/>
        <w:ind w:left="425" w:right="-6370" w:firstLineChars="500"/>
        <w:rPr>
          <w:rFonts w:hint="default" w:ascii="宋体" w:hAnsi="宋体" w:eastAsia="宋体" w:cs="仿宋"/>
          <w:bCs/>
          <w:color w:val="000000" w:themeColor="text1"/>
          <w:w w:val="100"/>
          <w:sz w:val="24"/>
          <w:szCs w:val="24"/>
          <w:highlight w:val="none"/>
          <w:lang w:eastAsia="zh-CN"/>
          <w14:textFill>
            <w14:solidFill>
              <w14:schemeClr w14:val="tx1"/>
            </w14:solidFill>
          </w14:textFill>
        </w:rPr>
      </w:pPr>
    </w:p>
    <w:p>
      <w:pPr>
        <w:numPr>
          <w:ilvl w:val="0"/>
          <w:numId w:val="0"/>
        </w:numPr>
        <w:adjustRightInd w:val="0"/>
        <w:snapToGrid w:val="0"/>
        <w:spacing w:before="70" w:line="360" w:lineRule="auto"/>
        <w:ind w:left="425" w:right="-6370" w:firstLineChars="500"/>
        <w:rPr>
          <w:rFonts w:hint="default" w:ascii="宋体" w:hAnsi="宋体" w:eastAsia="宋体" w:cs="仿宋"/>
          <w:bCs/>
          <w:color w:val="000000" w:themeColor="text1"/>
          <w:w w:val="100"/>
          <w:sz w:val="24"/>
          <w:szCs w:val="24"/>
          <w:highlight w:val="none"/>
          <w:lang w:eastAsia="zh-CN"/>
          <w14:textFill>
            <w14:solidFill>
              <w14:schemeClr w14:val="tx1"/>
            </w14:solidFill>
          </w14:textFill>
        </w:rPr>
      </w:pPr>
    </w:p>
    <w:p>
      <w:pPr>
        <w:numPr>
          <w:ilvl w:val="0"/>
          <w:numId w:val="0"/>
        </w:numPr>
        <w:adjustRightInd w:val="0"/>
        <w:snapToGrid w:val="0"/>
        <w:spacing w:before="70" w:line="360" w:lineRule="auto"/>
        <w:ind w:left="425" w:right="-6370" w:firstLineChars="500"/>
        <w:rPr>
          <w:rFonts w:ascii="宋体" w:hAnsi="宋体" w:eastAsia="宋体" w:cs="仿宋"/>
          <w:bCs/>
          <w:color w:val="000000" w:themeColor="text1"/>
          <w:w w:val="100"/>
          <w:sz w:val="24"/>
          <w:szCs w:val="24"/>
          <w:highlight w:val="none"/>
          <w:lang w:eastAsia="zh-CN"/>
          <w14:textFill>
            <w14:solidFill>
              <w14:schemeClr w14:val="tx1"/>
            </w14:solidFill>
          </w14:textFill>
        </w:rPr>
      </w:pPr>
      <w:r>
        <w:rPr>
          <w:rFonts w:hint="default" w:ascii="宋体" w:hAnsi="宋体" w:eastAsia="宋体" w:cs="仿宋"/>
          <w:bCs/>
          <w:color w:val="000000" w:themeColor="text1"/>
          <w:w w:val="100"/>
          <w:sz w:val="24"/>
          <w:szCs w:val="24"/>
          <w:highlight w:val="none"/>
          <w:lang w:eastAsia="zh-CN"/>
          <w14:textFill>
            <w14:solidFill>
              <w14:schemeClr w14:val="tx1"/>
            </w14:solidFill>
          </w14:textFill>
        </w:rPr>
        <w:t xml:space="preserve">                                                                        </w:t>
      </w:r>
      <w:r>
        <w:rPr>
          <w:rFonts w:hint="default" w:ascii="宋体" w:hAnsi="宋体" w:eastAsia="宋体" w:cs="仿宋"/>
          <w:bCs/>
          <w:color w:val="000000" w:themeColor="text1"/>
          <w:w w:val="100"/>
          <w:sz w:val="24"/>
          <w:szCs w:val="24"/>
          <w:highlight w:val="none"/>
          <w:lang w:eastAsia="zh-CN"/>
          <w14:textFill>
            <w14:solidFill>
              <w14:schemeClr w14:val="tx1"/>
            </w14:solidFill>
          </w14:textFill>
        </w:rPr>
        <w:br w:type="column"/>
      </w:r>
      <w:r>
        <w:rPr>
          <w:rFonts w:hint="default" w:ascii="宋体" w:hAnsi="宋体" w:eastAsia="宋体" w:cs="仿宋"/>
          <w:bCs/>
          <w:color w:val="000000" w:themeColor="text1"/>
          <w:w w:val="100"/>
          <w:sz w:val="24"/>
          <w:szCs w:val="24"/>
          <w:highlight w:val="none"/>
          <w:lang w:val="en-US" w:eastAsia="zh-CN"/>
          <w14:textFill>
            <w14:solidFill>
              <w14:schemeClr w14:val="tx1"/>
            </w14:solidFill>
          </w14:textFill>
        </w:rPr>
        <w:t xml:space="preserve">    </w:t>
      </w:r>
      <w:r>
        <w:rPr>
          <w:rFonts w:hint="default" w:ascii="宋体" w:hAnsi="宋体" w:eastAsia="宋体" w:cs="仿宋"/>
          <w:bCs/>
          <w:color w:val="000000" w:themeColor="text1"/>
          <w:w w:val="100"/>
          <w:sz w:val="24"/>
          <w:szCs w:val="24"/>
          <w:highlight w:val="none"/>
          <w:lang w:eastAsia="zh-CN"/>
          <w14:textFill>
            <w14:solidFill>
              <w14:schemeClr w14:val="tx1"/>
            </w14:solidFill>
          </w14:textFill>
        </w:rPr>
        <w:t>代表法定人或委托代理人</w:t>
      </w:r>
    </w:p>
    <w:p>
      <w:pPr>
        <w:numPr>
          <w:ilvl w:val="0"/>
          <w:numId w:val="0"/>
        </w:numPr>
        <w:adjustRightInd w:val="0"/>
        <w:snapToGrid w:val="0"/>
        <w:spacing w:before="102" w:line="360" w:lineRule="auto"/>
        <w:ind w:left="425" w:leftChars="0" w:right="889" w:firstLineChars="0"/>
        <w:rPr>
          <w:rFonts w:hint="default" w:ascii="宋体" w:hAnsi="宋体" w:eastAsia="宋体" w:cs="仿宋"/>
          <w:bCs/>
          <w:color w:val="000000" w:themeColor="text1"/>
          <w:sz w:val="24"/>
          <w:szCs w:val="24"/>
          <w:highlight w:val="none"/>
          <w:lang w:val="en-US"/>
          <w14:textFill>
            <w14:solidFill>
              <w14:schemeClr w14:val="tx1"/>
            </w14:solidFill>
          </w14:textFill>
        </w:rPr>
        <w:sectPr>
          <w:type w:val="continuous"/>
          <w:pgSz w:w="11900" w:h="16820"/>
          <w:pgMar w:top="1418" w:right="1134" w:bottom="1134" w:left="1134" w:header="720" w:footer="720" w:gutter="0"/>
          <w:cols w:equalWidth="0" w:num="2">
            <w:col w:w="3269" w:space="1788"/>
            <w:col w:w="4575"/>
          </w:cols>
        </w:sectPr>
      </w:pPr>
      <w:r>
        <w:rPr>
          <w:rFonts w:hint="default" w:ascii="宋体" w:hAnsi="宋体" w:eastAsia="宋体" w:cs="仿宋"/>
          <w:bCs/>
          <w:color w:val="000000" w:themeColor="text1"/>
          <w:spacing w:val="0"/>
          <w:w w:val="100"/>
          <w:sz w:val="24"/>
          <w:szCs w:val="24"/>
          <w:highlight w:val="none"/>
          <w:lang w:eastAsia="zh-CN"/>
          <w14:textFill>
            <w14:solidFill>
              <w14:schemeClr w14:val="tx1"/>
            </w14:solidFill>
          </w14:textFill>
        </w:rPr>
        <w:t>签字:</w:t>
      </w:r>
      <w:r>
        <w:rPr>
          <w:rFonts w:hint="default" w:ascii="宋体" w:hAnsi="宋体" w:eastAsia="宋体" w:cs="仿宋"/>
          <w:bCs/>
          <w:color w:val="000000" w:themeColor="text1"/>
          <w:spacing w:val="0"/>
          <w:w w:val="100"/>
          <w:sz w:val="24"/>
          <w:szCs w:val="24"/>
          <w:highlight w:val="none"/>
          <w:u w:val="none"/>
          <w:lang w:eastAsia="zh-CN"/>
          <w14:textFill>
            <w14:solidFill>
              <w14:schemeClr w14:val="tx1"/>
            </w14:solidFill>
          </w14:textFill>
        </w:rPr>
        <w:t xml:space="preserve"> </w:t>
      </w:r>
    </w:p>
    <w:p>
      <w:pPr>
        <w:rPr>
          <w:color w:val="000000" w:themeColor="text1"/>
          <w:highlight w:val="none"/>
          <w14:textFill>
            <w14:solidFill>
              <w14:schemeClr w14:val="tx1"/>
            </w14:solidFill>
          </w14:textFill>
        </w:rPr>
      </w:pPr>
    </w:p>
    <w:sectPr>
      <w:footerReference r:id="rId8"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5"/>
    </w:sdtPr>
    <w:sdtContent>
      <w:p>
        <w:pPr>
          <w:pStyle w:val="1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2"/>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7"/>
      </w:pBdr>
      <w:ind w:right="2" w:rightChars="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33"/>
                            </w:rPr>
                          </w:pPr>
                          <w:r>
                            <w:fldChar w:fldCharType="begin"/>
                          </w:r>
                          <w:r>
                            <w:rPr>
                              <w:rStyle w:val="33"/>
                            </w:rPr>
                            <w:instrText xml:space="preserve">PAGE  </w:instrText>
                          </w:r>
                          <w:r>
                            <w:fldChar w:fldCharType="separate"/>
                          </w:r>
                          <w:r>
                            <w:rPr>
                              <w:rStyle w:val="33"/>
                            </w:rPr>
                            <w:t>73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2"/>
                      <w:rPr>
                        <w:rStyle w:val="33"/>
                      </w:rPr>
                    </w:pPr>
                    <w:r>
                      <w:fldChar w:fldCharType="begin"/>
                    </w:r>
                    <w:r>
                      <w:rPr>
                        <w:rStyle w:val="33"/>
                      </w:rPr>
                      <w:instrText xml:space="preserve">PAGE  </w:instrText>
                    </w:r>
                    <w:r>
                      <w:fldChar w:fldCharType="separate"/>
                    </w:r>
                    <w:r>
                      <w:rPr>
                        <w:rStyle w:val="33"/>
                      </w:rPr>
                      <w:t>73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 xml:space="preserve">                                    第</w:t>
    </w:r>
    <w:r>
      <w:fldChar w:fldCharType="begin"/>
    </w:r>
    <w:r>
      <w:rPr>
        <w:rStyle w:val="20"/>
      </w:rPr>
      <w:instrText xml:space="preserve"> PAGE </w:instrText>
    </w:r>
    <w:r>
      <w:fldChar w:fldCharType="separate"/>
    </w:r>
    <w:r>
      <w:rPr>
        <w:rStyle w:val="20"/>
      </w:rPr>
      <w:t>47</w:t>
    </w:r>
    <w:r>
      <w:fldChar w:fldCharType="end"/>
    </w:r>
    <w:r>
      <w:rPr>
        <w:rFonts w:hint="eastAsia"/>
      </w:rPr>
      <w:t>页，共</w:t>
    </w:r>
    <w:r>
      <w:fldChar w:fldCharType="begin"/>
    </w:r>
    <w:r>
      <w:rPr>
        <w:rStyle w:val="20"/>
      </w:rPr>
      <w:instrText xml:space="preserve"> NUMPAGES </w:instrText>
    </w:r>
    <w:r>
      <w:fldChar w:fldCharType="separate"/>
    </w:r>
    <w:r>
      <w:rPr>
        <w:rStyle w:val="20"/>
      </w:rPr>
      <w:t>47</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tabs>
        <w:tab w:val="left" w:pos="6540"/>
      </w:tabs>
      <w:spacing w:line="360" w:lineRule="auto"/>
      <w:jc w:val="center"/>
      <w:rPr>
        <w:rFonts w:ascii="宋体" w:hAnsi="宋体"/>
        <w:sz w:val="15"/>
        <w:szCs w:val="15"/>
        <w:u w:val="single"/>
      </w:rPr>
    </w:pPr>
    <w:r>
      <w:fldChar w:fldCharType="begin"/>
    </w:r>
    <w:r>
      <w:instrText xml:space="preserve">DOCVARIABLE  采购编号  \* MERGEFORMAT</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7539E"/>
    <w:multiLevelType w:val="singleLevel"/>
    <w:tmpl w:val="B377539E"/>
    <w:lvl w:ilvl="0" w:tentative="0">
      <w:start w:val="1"/>
      <w:numFmt w:val="decimal"/>
      <w:lvlText w:val="%1."/>
      <w:lvlJc w:val="left"/>
      <w:pPr>
        <w:ind w:left="425" w:hanging="425"/>
      </w:pPr>
      <w:rPr>
        <w:rFonts w:hint="default"/>
      </w:rPr>
    </w:lvl>
  </w:abstractNum>
  <w:abstractNum w:abstractNumId="1">
    <w:nsid w:val="DBD6D3E9"/>
    <w:multiLevelType w:val="singleLevel"/>
    <w:tmpl w:val="DBD6D3E9"/>
    <w:lvl w:ilvl="0" w:tentative="0">
      <w:start w:val="1"/>
      <w:numFmt w:val="decimal"/>
      <w:lvlText w:val="%1."/>
      <w:lvlJc w:val="left"/>
      <w:pPr>
        <w:ind w:left="425" w:hanging="425"/>
      </w:pPr>
      <w:rPr>
        <w:rFonts w:hint="default"/>
      </w:rPr>
    </w:lvl>
  </w:abstractNum>
  <w:abstractNum w:abstractNumId="2">
    <w:nsid w:val="DF5A5FB6"/>
    <w:multiLevelType w:val="singleLevel"/>
    <w:tmpl w:val="DF5A5FB6"/>
    <w:lvl w:ilvl="0" w:tentative="0">
      <w:start w:val="1"/>
      <w:numFmt w:val="decimal"/>
      <w:lvlText w:val="%1."/>
      <w:lvlJc w:val="left"/>
      <w:pPr>
        <w:ind w:left="425" w:hanging="425"/>
      </w:pPr>
      <w:rPr>
        <w:rFonts w:hint="default"/>
      </w:rPr>
    </w:lvl>
  </w:abstractNum>
  <w:abstractNum w:abstractNumId="3">
    <w:nsid w:val="EFB7766B"/>
    <w:multiLevelType w:val="singleLevel"/>
    <w:tmpl w:val="EFB7766B"/>
    <w:lvl w:ilvl="0" w:tentative="0">
      <w:start w:val="1"/>
      <w:numFmt w:val="decimal"/>
      <w:lvlText w:val="%1."/>
      <w:lvlJc w:val="left"/>
      <w:pPr>
        <w:ind w:left="425" w:hanging="425"/>
      </w:pPr>
      <w:rPr>
        <w:rFonts w:hint="default"/>
      </w:rPr>
    </w:lvl>
  </w:abstractNum>
  <w:abstractNum w:abstractNumId="4">
    <w:nsid w:val="066EBB88"/>
    <w:multiLevelType w:val="singleLevel"/>
    <w:tmpl w:val="066EBB88"/>
    <w:lvl w:ilvl="0" w:tentative="0">
      <w:start w:val="1"/>
      <w:numFmt w:val="decimal"/>
      <w:lvlText w:val="%1."/>
      <w:lvlJc w:val="left"/>
      <w:pPr>
        <w:ind w:left="425" w:hanging="425"/>
      </w:pPr>
      <w:rPr>
        <w:rFonts w:hint="default"/>
      </w:rPr>
    </w:lvl>
  </w:abstractNum>
  <w:abstractNum w:abstractNumId="5">
    <w:nsid w:val="1A3D276B"/>
    <w:multiLevelType w:val="singleLevel"/>
    <w:tmpl w:val="1A3D276B"/>
    <w:lvl w:ilvl="0" w:tentative="0">
      <w:start w:val="1"/>
      <w:numFmt w:val="decimal"/>
      <w:lvlText w:val="%1."/>
      <w:lvlJc w:val="left"/>
      <w:pPr>
        <w:ind w:left="425" w:hanging="425"/>
      </w:pPr>
      <w:rPr>
        <w:rFonts w:hint="default"/>
      </w:rPr>
    </w:lvl>
  </w:abstractNum>
  <w:abstractNum w:abstractNumId="6">
    <w:nsid w:val="23938890"/>
    <w:multiLevelType w:val="singleLevel"/>
    <w:tmpl w:val="23938890"/>
    <w:lvl w:ilvl="0" w:tentative="0">
      <w:start w:val="1"/>
      <w:numFmt w:val="decimal"/>
      <w:lvlText w:val="%1."/>
      <w:lvlJc w:val="left"/>
      <w:pPr>
        <w:ind w:left="425" w:hanging="425"/>
      </w:pPr>
      <w:rPr>
        <w:rFonts w:hint="default"/>
      </w:rPr>
    </w:lvl>
  </w:abstractNum>
  <w:abstractNum w:abstractNumId="7">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abstractNum w:abstractNumId="8">
    <w:nsid w:val="41B4DD5D"/>
    <w:multiLevelType w:val="singleLevel"/>
    <w:tmpl w:val="41B4DD5D"/>
    <w:lvl w:ilvl="0" w:tentative="0">
      <w:start w:val="2"/>
      <w:numFmt w:val="decimal"/>
      <w:suff w:val="nothing"/>
      <w:lvlText w:val="%1、"/>
      <w:lvlJc w:val="left"/>
    </w:lvl>
  </w:abstractNum>
  <w:abstractNum w:abstractNumId="9">
    <w:nsid w:val="48DAE049"/>
    <w:multiLevelType w:val="multilevel"/>
    <w:tmpl w:val="48DAE04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61F5523C"/>
    <w:multiLevelType w:val="singleLevel"/>
    <w:tmpl w:val="61F5523C"/>
    <w:lvl w:ilvl="0" w:tentative="0">
      <w:start w:val="1"/>
      <w:numFmt w:val="chineseCounting"/>
      <w:suff w:val="nothing"/>
      <w:lvlText w:val="%1、"/>
      <w:lvlJc w:val="left"/>
      <w:pPr>
        <w:ind w:left="0" w:firstLine="420"/>
      </w:pPr>
      <w:rPr>
        <w:rFonts w:hint="eastAsia"/>
      </w:rPr>
    </w:lvl>
  </w:abstractNum>
  <w:abstractNum w:abstractNumId="11">
    <w:nsid w:val="62D0E3AF"/>
    <w:multiLevelType w:val="singleLevel"/>
    <w:tmpl w:val="62D0E3AF"/>
    <w:lvl w:ilvl="0" w:tentative="0">
      <w:start w:val="1"/>
      <w:numFmt w:val="decimal"/>
      <w:lvlText w:val="%1."/>
      <w:lvlJc w:val="left"/>
      <w:pPr>
        <w:ind w:left="425" w:hanging="425"/>
      </w:pPr>
      <w:rPr>
        <w:rFonts w:hint="default"/>
      </w:rPr>
    </w:lvl>
  </w:abstractNum>
  <w:abstractNum w:abstractNumId="12">
    <w:nsid w:val="7F8BEB6E"/>
    <w:multiLevelType w:val="singleLevel"/>
    <w:tmpl w:val="7F8BEB6E"/>
    <w:lvl w:ilvl="0" w:tentative="0">
      <w:start w:val="1"/>
      <w:numFmt w:val="decimal"/>
      <w:lvlText w:val="%1."/>
      <w:lvlJc w:val="left"/>
      <w:pPr>
        <w:ind w:left="425" w:hanging="425"/>
      </w:pPr>
      <w:rPr>
        <w:rFonts w:hint="default"/>
      </w:rPr>
    </w:lvl>
  </w:abstractNum>
  <w:num w:numId="1">
    <w:abstractNumId w:val="8"/>
  </w:num>
  <w:num w:numId="2">
    <w:abstractNumId w:val="7"/>
  </w:num>
  <w:num w:numId="3">
    <w:abstractNumId w:val="10"/>
  </w:num>
  <w:num w:numId="4">
    <w:abstractNumId w:val="3"/>
  </w:num>
  <w:num w:numId="5">
    <w:abstractNumId w:val="6"/>
  </w:num>
  <w:num w:numId="6">
    <w:abstractNumId w:val="1"/>
  </w:num>
  <w:num w:numId="7">
    <w:abstractNumId w:val="5"/>
  </w:num>
  <w:num w:numId="8">
    <w:abstractNumId w:val="9"/>
  </w:num>
  <w:num w:numId="9">
    <w:abstractNumId w:val="11"/>
  </w:num>
  <w:num w:numId="10">
    <w:abstractNumId w:val="12"/>
  </w:num>
  <w:num w:numId="11">
    <w:abstractNumId w:val="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displayBackgroundShape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mVkZTQ1Y2E5NmFjNDhjNjQ4YmNiMzlmNjM3MTgifQ=="/>
  </w:docVars>
  <w:rsids>
    <w:rsidRoot w:val="5A9E4E10"/>
    <w:rsid w:val="000326EE"/>
    <w:rsid w:val="0007691E"/>
    <w:rsid w:val="009212E9"/>
    <w:rsid w:val="00A92F32"/>
    <w:rsid w:val="00CD3D14"/>
    <w:rsid w:val="00F46AD6"/>
    <w:rsid w:val="00F97650"/>
    <w:rsid w:val="02495182"/>
    <w:rsid w:val="03106CF8"/>
    <w:rsid w:val="0640211D"/>
    <w:rsid w:val="08EE635C"/>
    <w:rsid w:val="0E5536F4"/>
    <w:rsid w:val="0EA92008"/>
    <w:rsid w:val="10BA0C23"/>
    <w:rsid w:val="14206D94"/>
    <w:rsid w:val="1A95310A"/>
    <w:rsid w:val="1F781EC9"/>
    <w:rsid w:val="20FB4647"/>
    <w:rsid w:val="22A30336"/>
    <w:rsid w:val="23A931DE"/>
    <w:rsid w:val="28814EFD"/>
    <w:rsid w:val="28FE17A7"/>
    <w:rsid w:val="29E6403E"/>
    <w:rsid w:val="2AF7061B"/>
    <w:rsid w:val="2B391799"/>
    <w:rsid w:val="2C625CF0"/>
    <w:rsid w:val="2CF61AA4"/>
    <w:rsid w:val="2F754550"/>
    <w:rsid w:val="30D92DD7"/>
    <w:rsid w:val="31737306"/>
    <w:rsid w:val="31CD40BC"/>
    <w:rsid w:val="33267486"/>
    <w:rsid w:val="34CB0AD9"/>
    <w:rsid w:val="35F515FD"/>
    <w:rsid w:val="368876BA"/>
    <w:rsid w:val="378A7679"/>
    <w:rsid w:val="388E38AC"/>
    <w:rsid w:val="3AC058DE"/>
    <w:rsid w:val="3BEF518C"/>
    <w:rsid w:val="3C3D1543"/>
    <w:rsid w:val="3D0D16EF"/>
    <w:rsid w:val="3DA15197"/>
    <w:rsid w:val="3EEA34F4"/>
    <w:rsid w:val="410623F8"/>
    <w:rsid w:val="421E7386"/>
    <w:rsid w:val="42482385"/>
    <w:rsid w:val="42B577AE"/>
    <w:rsid w:val="436651F9"/>
    <w:rsid w:val="44FF3C0C"/>
    <w:rsid w:val="45625ABA"/>
    <w:rsid w:val="45CA6063"/>
    <w:rsid w:val="4A116F4C"/>
    <w:rsid w:val="4DB150DA"/>
    <w:rsid w:val="4E162E45"/>
    <w:rsid w:val="4E3272EE"/>
    <w:rsid w:val="4ED94B63"/>
    <w:rsid w:val="50DC69CA"/>
    <w:rsid w:val="51A2208A"/>
    <w:rsid w:val="52862447"/>
    <w:rsid w:val="52EB172B"/>
    <w:rsid w:val="564B432E"/>
    <w:rsid w:val="58726CF2"/>
    <w:rsid w:val="5A9E4E10"/>
    <w:rsid w:val="5C0244DB"/>
    <w:rsid w:val="5C83637D"/>
    <w:rsid w:val="5F10533B"/>
    <w:rsid w:val="5F9745B0"/>
    <w:rsid w:val="5FFD464A"/>
    <w:rsid w:val="607168AD"/>
    <w:rsid w:val="62EB0199"/>
    <w:rsid w:val="63AA5E6C"/>
    <w:rsid w:val="63EC5945"/>
    <w:rsid w:val="65EA16D1"/>
    <w:rsid w:val="680117F9"/>
    <w:rsid w:val="68630D00"/>
    <w:rsid w:val="68C71AF6"/>
    <w:rsid w:val="70867653"/>
    <w:rsid w:val="710D3BE9"/>
    <w:rsid w:val="73823391"/>
    <w:rsid w:val="740C15B0"/>
    <w:rsid w:val="74315BCE"/>
    <w:rsid w:val="74F95662"/>
    <w:rsid w:val="779074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8">
    <w:name w:val="Default Paragraph Font"/>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ind w:left="425"/>
      <w:jc w:val="left"/>
    </w:pPr>
    <w:rPr>
      <w:kern w:val="0"/>
      <w:sz w:val="20"/>
      <w:szCs w:val="20"/>
      <w:lang w:eastAsia="en-US"/>
    </w:rPr>
  </w:style>
  <w:style w:type="paragraph" w:styleId="6">
    <w:name w:val="annotation text"/>
    <w:basedOn w:val="1"/>
    <w:qFormat/>
    <w:uiPriority w:val="0"/>
    <w:pPr>
      <w:jc w:val="left"/>
    </w:pPr>
  </w:style>
  <w:style w:type="paragraph" w:styleId="7">
    <w:name w:val="Body Text"/>
    <w:basedOn w:val="1"/>
    <w:qFormat/>
    <w:uiPriority w:val="0"/>
    <w:rPr>
      <w:color w:val="FF0000"/>
    </w:rPr>
  </w:style>
  <w:style w:type="paragraph" w:styleId="8">
    <w:name w:val="toc 3"/>
    <w:basedOn w:val="1"/>
    <w:next w:val="1"/>
    <w:qFormat/>
    <w:uiPriority w:val="39"/>
    <w:pPr>
      <w:spacing w:line="360" w:lineRule="auto"/>
      <w:ind w:left="420"/>
      <w:jc w:val="left"/>
    </w:pPr>
    <w:rPr>
      <w:iCs/>
      <w:sz w:val="24"/>
      <w:szCs w:val="20"/>
    </w:rPr>
  </w:style>
  <w:style w:type="paragraph" w:styleId="9">
    <w:name w:val="Plain Text"/>
    <w:basedOn w:val="1"/>
    <w:qFormat/>
    <w:uiPriority w:val="0"/>
    <w:rPr>
      <w:rFonts w:ascii="宋体" w:hAnsi="Courier New" w:cs="Courier New"/>
      <w:szCs w:val="21"/>
    </w:rPr>
  </w:style>
  <w:style w:type="paragraph" w:styleId="10">
    <w:name w:val="endnote text"/>
    <w:basedOn w:val="1"/>
    <w:autoRedefine/>
    <w:qFormat/>
    <w:uiPriority w:val="0"/>
    <w:pPr>
      <w:snapToGrid w:val="0"/>
      <w:jc w:val="left"/>
    </w:pPr>
    <w:rPr>
      <w:rFonts w:ascii="宋体" w:hAnsi="宋体"/>
      <w:kern w:val="0"/>
      <w:sz w:val="28"/>
    </w:rPr>
  </w:style>
  <w:style w:type="paragraph" w:styleId="11">
    <w:name w:val="Balloon Text"/>
    <w:basedOn w:val="1"/>
    <w:link w:val="29"/>
    <w:autoRedefine/>
    <w:qFormat/>
    <w:uiPriority w:val="0"/>
    <w:rPr>
      <w:sz w:val="18"/>
      <w:szCs w:val="18"/>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link w:val="30"/>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after="120" w:line="360" w:lineRule="auto"/>
      <w:jc w:val="left"/>
    </w:pPr>
    <w:rPr>
      <w:b/>
      <w:bCs/>
      <w:caps/>
      <w:sz w:val="24"/>
      <w:szCs w:val="20"/>
    </w:rPr>
  </w:style>
  <w:style w:type="paragraph" w:styleId="15">
    <w:name w:val="toc 2"/>
    <w:basedOn w:val="1"/>
    <w:next w:val="1"/>
    <w:autoRedefine/>
    <w:qFormat/>
    <w:uiPriority w:val="39"/>
    <w:pPr>
      <w:spacing w:line="360" w:lineRule="auto"/>
      <w:ind w:left="210"/>
      <w:jc w:val="left"/>
    </w:pPr>
    <w:rPr>
      <w:smallCaps/>
      <w:sz w:val="24"/>
      <w:szCs w:val="20"/>
    </w:rPr>
  </w:style>
  <w:style w:type="paragraph" w:styleId="16">
    <w:name w:val="Normal (Web)"/>
    <w:basedOn w:val="1"/>
    <w:autoRedefine/>
    <w:qFormat/>
    <w:uiPriority w:val="99"/>
    <w:pPr>
      <w:spacing w:line="300" w:lineRule="auto"/>
    </w:pPr>
    <w:rPr>
      <w:sz w:val="24"/>
    </w:rPr>
  </w:style>
  <w:style w:type="character" w:styleId="19">
    <w:name w:val="Strong"/>
    <w:autoRedefine/>
    <w:qFormat/>
    <w:uiPriority w:val="22"/>
    <w:rPr>
      <w:b/>
      <w:bCs/>
    </w:rPr>
  </w:style>
  <w:style w:type="character" w:styleId="20">
    <w:name w:val="page number"/>
    <w:basedOn w:val="18"/>
    <w:autoRedefine/>
    <w:qFormat/>
    <w:uiPriority w:val="0"/>
  </w:style>
  <w:style w:type="character" w:styleId="21">
    <w:name w:val="Hyperlink"/>
    <w:autoRedefine/>
    <w:qFormat/>
    <w:uiPriority w:val="99"/>
    <w:rPr>
      <w:color w:val="0000FF"/>
      <w:u w:val="single"/>
    </w:rPr>
  </w:style>
  <w:style w:type="character" w:styleId="22">
    <w:name w:val="annotation reference"/>
    <w:autoRedefine/>
    <w:qFormat/>
    <w:uiPriority w:val="0"/>
    <w:rPr>
      <w:sz w:val="21"/>
      <w:szCs w:val="21"/>
    </w:rPr>
  </w:style>
  <w:style w:type="paragraph" w:styleId="23">
    <w:name w:val="List Paragraph"/>
    <w:basedOn w:val="1"/>
    <w:autoRedefine/>
    <w:qFormat/>
    <w:uiPriority w:val="99"/>
    <w:pPr>
      <w:ind w:firstLine="420" w:firstLineChars="200"/>
    </w:pPr>
  </w:style>
  <w:style w:type="paragraph" w:customStyle="1" w:styleId="24">
    <w:name w:val="表头文本"/>
    <w:basedOn w:val="1"/>
    <w:autoRedefine/>
    <w:qFormat/>
    <w:uiPriority w:val="0"/>
    <w:pPr>
      <w:autoSpaceDE w:val="0"/>
      <w:autoSpaceDN w:val="0"/>
      <w:adjustRightInd w:val="0"/>
      <w:jc w:val="center"/>
    </w:pPr>
    <w:rPr>
      <w:b/>
      <w:kern w:val="0"/>
      <w:sz w:val="24"/>
      <w:szCs w:val="20"/>
    </w:rPr>
  </w:style>
  <w:style w:type="paragraph" w:customStyle="1" w:styleId="2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样式3"/>
    <w:basedOn w:val="9"/>
    <w:autoRedefine/>
    <w:qFormat/>
    <w:uiPriority w:val="0"/>
    <w:pPr>
      <w:spacing w:line="0" w:lineRule="atLeast"/>
      <w:outlineLvl w:val="0"/>
    </w:pPr>
    <w:rPr>
      <w:rFonts w:cs="Times New Roman"/>
      <w:sz w:val="28"/>
      <w:szCs w:val="20"/>
    </w:rPr>
  </w:style>
  <w:style w:type="paragraph" w:customStyle="1" w:styleId="27">
    <w:name w:val="Table Paragraph"/>
    <w:basedOn w:val="1"/>
    <w:autoRedefine/>
    <w:qFormat/>
    <w:uiPriority w:val="1"/>
    <w:pPr>
      <w:jc w:val="left"/>
    </w:pPr>
    <w:rPr>
      <w:rFonts w:ascii="Calibri" w:hAnsi="Calibri"/>
      <w:kern w:val="0"/>
      <w:sz w:val="22"/>
      <w:szCs w:val="22"/>
      <w:lang w:eastAsia="en-US"/>
    </w:rPr>
  </w:style>
  <w:style w:type="paragraph" w:customStyle="1" w:styleId="28">
    <w:name w:val="样式2"/>
    <w:basedOn w:val="12"/>
    <w:autoRedefine/>
    <w:qFormat/>
    <w:uiPriority w:val="0"/>
    <w:pPr>
      <w:ind w:right="360"/>
    </w:pPr>
    <w:rPr>
      <w:rFonts w:ascii="宋体" w:hAnsi="宋体"/>
      <w:sz w:val="21"/>
      <w:szCs w:val="21"/>
    </w:rPr>
  </w:style>
  <w:style w:type="character" w:customStyle="1" w:styleId="29">
    <w:name w:val="批注框文本 Char"/>
    <w:basedOn w:val="18"/>
    <w:link w:val="11"/>
    <w:autoRedefine/>
    <w:qFormat/>
    <w:uiPriority w:val="0"/>
    <w:rPr>
      <w:rFonts w:ascii="Times New Roman" w:hAnsi="Times New Roman"/>
      <w:kern w:val="2"/>
      <w:sz w:val="18"/>
      <w:szCs w:val="18"/>
    </w:rPr>
  </w:style>
  <w:style w:type="character" w:customStyle="1" w:styleId="30">
    <w:name w:val="页眉 Char"/>
    <w:basedOn w:val="18"/>
    <w:link w:val="13"/>
    <w:autoRedefine/>
    <w:qFormat/>
    <w:uiPriority w:val="0"/>
    <w:rPr>
      <w:rFonts w:ascii="Times New Roman" w:hAnsi="Times New Roman"/>
      <w:kern w:val="2"/>
      <w:sz w:val="18"/>
      <w:szCs w:val="18"/>
    </w:rPr>
  </w:style>
  <w:style w:type="paragraph" w:customStyle="1" w:styleId="31">
    <w:name w:val="_Style 5"/>
    <w:basedOn w:val="1"/>
    <w:autoRedefine/>
    <w:qFormat/>
    <w:uiPriority w:val="0"/>
    <w:rPr>
      <w:rFonts w:ascii="华文仿宋" w:hAnsi="华文仿宋" w:eastAsia="仿宋_GB2312" w:cs="华文仿宋"/>
      <w:sz w:val="24"/>
      <w:szCs w:val="20"/>
    </w:rPr>
  </w:style>
  <w:style w:type="paragraph" w:customStyle="1" w:styleId="32">
    <w:name w:val="样式 标题 1合同标题卷标题TITRE11h1标题 1 1标书1H11st levelSection Hea..."/>
    <w:basedOn w:val="2"/>
    <w:autoRedefine/>
    <w:qFormat/>
    <w:uiPriority w:val="0"/>
    <w:rPr>
      <w:kern w:val="0"/>
    </w:rPr>
  </w:style>
  <w:style w:type="character" w:customStyle="1" w:styleId="33">
    <w:name w:val="page numb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2929B5-BC5A-4222-AAA8-8AC8E8DD111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76</Pages>
  <Words>11536</Words>
  <Characters>12397</Characters>
  <Lines>164</Lines>
  <Paragraphs>46</Paragraphs>
  <TotalTime>14</TotalTime>
  <ScaleCrop>false</ScaleCrop>
  <LinksUpToDate>false</LinksUpToDate>
  <CharactersWithSpaces>12609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2019-07-19T07:32:00Z</dcterms:created>
  <dc:creator>国贸物业招标办</dc:creator>
  <cp:lastModifiedBy>林璐</cp:lastModifiedBy>
  <dcterms:modified xsi:type="dcterms:W3CDTF">2024-10-24T08:01:01Z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EE137B38C0824B3692E9459CBB2209C3_13</vt:lpwstr>
  </property>
</Properties>
</file>